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https://www.autoritedelaconcurrence.fr/fr/decision-de-controle-des-concentrations/relative-la-prise-de-controle-exclusif-de-la-societe-182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17-DCC-151 of September 7, 2017  </w:t>
        <w:br/>
        <w:t xml:space="preserve">regarding the exclusive control acquisition of the company Brienne Auto by the  </w:t>
        <w:br/>
        <w:t xml:space="preserve">company Groupe Parot  </w:t>
        <w:br/>
        <w:t xml:space="preserve">The Competition Authority,  </w:t>
        <w:br/>
        <w:t xml:space="preserve">Having regard to the notification file sent to the mergers department on July 27, 2017, and declared  </w:t>
        <w:br/>
        <w:t xml:space="preserve">complete on August 24, 2017, concerning the exclusive control acquisition by the company Groupe Parot of the  </w:t>
        <w:br/>
        <w:t xml:space="preserve">company Brienne Auto, formalized by a letter of intent dated July 8, 2017;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by the notifying party during the investigation;  </w:t>
        <w:br/>
        <w:t xml:space="preserve">Adopts the following decision:  </w:t>
        <w:br/>
        <w:t xml:space="preserve">1. The notified operation consists of the exclusive control acquisition by the company Groupe Parot of the  </w:t>
        <w:br/>
        <w:t xml:space="preserve">company Brienne Auto, which is active in the sectors of the distribution and repair  </w:t>
        <w:br/>
        <w:t xml:space="preserve">of BMW-Mini brand motor vehicles in the department of Gironde (33). It  </w:t>
        <w:br/>
        <w:t xml:space="preserve">constitutes a concentration within the meaning of Article L. 430-1 of the Commercial Code. Given  </w:t>
        <w:br/>
        <w:t xml:space="preserve">the turnover achieved by the concerned companies, the operation does not fall under the  </w:t>
        <w:br/>
        <w:t xml:space="preserve">competence of the European Union. On the other hand, the control thresholds mentioned in II of  </w:t>
        <w:br/>
        <w:t xml:space="preserve">Article L. 430-2 of the Commercial Code are exceeded. This operation is therefore subject  </w:t>
        <w:br/>
        <w:t xml:space="preserve">to the provisions of Articles L. 430-3 and following of the Commercial Code relating to  </w:t>
        <w:br/>
        <w:t xml:space="preserve">economic concentration.  </w:t>
        <w:br/>
        <w:t xml:space="preserve">2. The markets concerned by the operation are the markets for the distribution of  </w:t>
        <w:br/>
        <w:t xml:space="preserve">motor vehicles, spare parts and automotive accessories, and maintenance and  </w:t>
        <w:br/>
        <w:t xml:space="preserve">repair services for motor vehicles. These markets are consistently defined by the  </w:t>
        <w:br/>
        <w:t xml:space="preserve">decision-making practice of the Competition Authority.  </w:t>
        <w:br/>
        <w:t xml:space="preserve">3. Regardless of the segmentations retained, the estimated market shares of the parties are  </w:t>
        <w:br/>
        <w:t xml:space="preserve">below 10%.  </w:t>
        <w:br/>
        <w:t xml:space="preserve">4. Considering the elements of the file and in accordance with point 384 of the guidelines of  </w:t>
        <w:br/>
        <w:t xml:space="preserve">the Competition Authority relating to the control of concentrations, the operation is not  </w:t>
        <w:br/>
        <w:t>likely to harm competition.</w:t>
      </w:r>
    </w:p>
    <w:p>
      <w:r>
        <w:t xml:space="preserve">DECIDES  </w:t>
        <w:br/>
        <w:t xml:space="preserve">Sole Article: The operation notified under number 17-154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