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https://www.autoritedelaconcurrence.fr/fr/decision-de-controle-des-concentrations/relative-la-prise-de-controle-exclusif-de-la-societe-184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17-DCC-158 of September 26, 2017  </w:t>
        <w:br/>
        <w:t xml:space="preserve">regarding the exclusive control acquisition of the company Soravia by the  </w:t>
        <w:br/>
        <w:t xml:space="preserve">Neubauer group  </w:t>
        <w:br/>
        <w:t xml:space="preserve">The Competition Authority,  </w:t>
        <w:br/>
        <w:t xml:space="preserve">Having regard to the complete notification file submitted to the mergers department on September 7, 2017,  </w:t>
        <w:br/>
        <w:t xml:space="preserve">concerning the exclusive control acquisition of the company Soravia by the Neubauer group, formalized by  </w:t>
        <w:br/>
        <w:t xml:space="preserve">a letter of intent dated June 6,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NDBM 2, a subsidiary of the  </w:t>
        <w:br/>
        <w:t xml:space="preserve">Neubauer group, of the company Soravia, which is active in the sectors of distribution  </w:t>
        <w:br/>
        <w:t xml:space="preserve">and repair of BMW-Mini brand motor vehicles in the department of Yvelines (78). It constitutes a concentration operation within the meaning of Article L. 430-1 of the  </w:t>
        <w:br/>
        <w:t xml:space="preserve">Commercial Code. Given the turnover achieved by the concerned companies,  </w:t>
        <w:br/>
        <w:t xml:space="preserve">the operation does not fall under the jurisdiction of the European Union. On the other hand, the thresholds of  </w:t>
        <w:br/>
        <w:t xml:space="preserve">control mentioned in II of Article L. 430-2 of the Commercial Code are exceeded. The present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17-182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