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https://www.autoritedelaconcurrence.fr/fr/decision-de-controle-des-concentrations/relative-la-prise-de-controle-exclusif-de-la-societe-185</w:t>
      </w:r>
    </w:p>
    <w:p>
      <w:r>
        <w:t>Pages translated : 2</w:t>
      </w:r>
    </w:p>
    <w:p/>
    <w:p>
      <w:r>
        <w:rPr>
          <w:b/>
        </w:rPr>
        <w:t>[Pages 1–2]</w:t>
      </w:r>
    </w:p>
    <w:p>
      <w:r>
        <w:t xml:space="preserve">FRENCH REPUBLIC  </w:t>
        <w:br/>
        <w:t xml:space="preserve">Decision No. 17-DCC-160 of October 3, 2017  </w:t>
        <w:br/>
        <w:t xml:space="preserve">regarding the exclusive control acquisition of the company Auxitec Holding by  </w:t>
        <w:br/>
        <w:t xml:space="preserve">the company Artelia  </w:t>
        <w:br/>
        <w:t xml:space="preserve">The Competition Authority,  </w:t>
        <w:br/>
        <w:t xml:space="preserve">Having regard to the complete notification file sent to the mergers department on September 4, 2017,  </w:t>
        <w:br/>
        <w:t xml:space="preserve">concerning the exclusive control acquisition of the company Auxitec Holding by the company Artelia,  </w:t>
        <w:br/>
        <w:t xml:space="preserve">formalized by a share transfer agreement dated July 5,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Artelia of the company  </w:t>
        <w:br/>
        <w:t xml:space="preserve">Auxitec Holding and its subsidiaries, which are active in the engineering and technical studies markets. It constitutes a concentration within the meaning of Article L. 430-1 of the Commercial Code. Given the turnover achieved by the concerned companies,  </w:t>
        <w:br/>
        <w:t xml:space="preserve">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engineering and technical studies, which are consistently defined by the decision-making practice of the Competition Authority.  </w:t>
        <w:br/>
        <w:t xml:space="preserve">3. Regardless of the segmentations retained, the combined market shares of the parties are below 15%.  </w:t>
        <w:br/>
        <w:t>4. Considering the elements of the file and in accordance with point 384 of the guidelines of the Competition Authority relating to the control of concentrations, the operation is not likely to harm competition.</w:t>
      </w:r>
    </w:p>
    <w:p>
      <w:r>
        <w:t xml:space="preserve">DECIDES  </w:t>
        <w:br/>
        <w:t xml:space="preserve">Sole Article: The operation notified under number 17-163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