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https://www.autoritedelaconcurrence.fr/fr/decision-de-controle-des-concentrations/relative-la-prise-de-controle-exclusif-de-la-societe-186</w:t>
      </w:r>
    </w:p>
    <w:p>
      <w:r>
        <w:t>Pages translated : 8</w:t>
      </w:r>
    </w:p>
    <w:p/>
    <w:p>
      <w:r>
        <w:rPr>
          <w:b/>
        </w:rPr>
        <w:t>[Pages 1–3]</w:t>
      </w:r>
    </w:p>
    <w:p>
      <w:r>
        <w:t xml:space="preserve">FRENCH REPUBLIC  </w:t>
        <w:br/>
        <w:t xml:space="preserve">Decision No. 17-DCC-174 of October 24, 2017  </w:t>
        <w:br/>
        <w:t xml:space="preserve">regarding the exclusive control of the company Financière BFSA  </w:t>
        <w:br/>
        <w:t>by the company Établissement Ciffréo et Bona</w:t>
      </w:r>
    </w:p>
    <w:p>
      <w:r>
        <w:t xml:space="preserve">The Competition Authority,  </w:t>
        <w:br/>
        <w:t xml:space="preserve">Having regard to the notification file submitted in full to the merger service on September 19, 2017, regarding the exclusive control of the company Financière BFSA (hereinafter "F-BFSA") by the company Établissements Ciffréo et Bona (hereinafter "Ciffréo Bona") through a purchase promise for shares of F-BFSA dated July 10,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Ciffréo Bona holds, directly or indirectly, control over […] operational subsidiaries in the sectors of generalist and specialist trading of construction materials. It heads a network of 90 sales points under the "Ciffréo Bona" brand and 28 sales points under the "Salica Anconetti" brand, mainly located in the Provence-Alpes-Côte-d’Azur region.  </w:t>
        <w:br/>
        <w:t xml:space="preserve">2. F-BFSA is the financial holding of the company BFSA (hereinafter "BFSA") which is active in the sectors of generalist and specialist trading of construction materials. It heads a network of 26 sales points under the "Balitrand" brand. BFSA operates exclusively in the Provence-Alpes-Côte-d’Azur region.  </w:t>
        <w:br/>
        <w:t xml:space="preserve">1 Ciffréo Bona is also present in the Auvergne-Rhône-Alpes and Occitanie regions.  </w:t>
        <w:br/>
        <w:t>2 BFSA also operates a sales point under the "Home Store" brand and a sales point under the "Bigmat" brand.</w:t>
      </w:r>
    </w:p>
    <w:p>
      <w:r>
        <w:t xml:space="preserve">3. The operation, formalized by a purchase promise dated July 10, 2017, involves the acquisition by Ciffréo Bona of the entire capital and voting rights of F-BFSA. As it results in the exclusive control of BFSA by Ciffréo Bona, the notified operation constitutes a concentration operation within the meaning of Article L. 430-1 of the Commercial Code.  </w:t>
        <w:br/>
        <w:t>4. The companies concerned together achieve a total worldwide turnover of more than 150 million euros (Ciffréo Bona: […] euros for the fiscal year ending December 31, 2016; F-BSFA: […] euros for the same fiscal year). Each of these companies has achieved a turnover in France of more than 50 million euros (Ciffréo Bona: […] euros for the fiscal year ending December 31, 2016; F-BSFA: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parties are simultaneously active in the sector of distribution of construction materials intended for professionals. In this sector, the parties are present both upstream, as buyers of materials from manufacturers, and downstream, in the market for trading construction materials.  </w:t>
        <w:br/>
        <w:t xml:space="preserve">A. UPSTREAM MARKETS FOR THE SUPPLY OF CONSTRUCTION MATERIALS  </w:t>
        <w:br/>
        <w:t xml:space="preserve">1. PRODUCT MARKETS  </w:t>
        <w:br/>
        <w:t xml:space="preserve">6. The parties purchase construction materials from various producers which they distribute to professionals in the sector.  </w:t>
        <w:br/>
        <w:t xml:space="preserve">7. Regarding the supply of construction materials, the decision-making practice of the competition authorities distinguishes as many markets as there are families of products. Indeed, the structure of the offer, the pricing dynamics, or even the manufacturing constraints can vary significantly from one product family to another.  </w:t>
        <w:br/>
        <w:t xml:space="preserve">8. In this case, the products simultaneously distributed by the parties belong to the following families:  </w:t>
        <w:br/>
        <w:t xml:space="preserve">- sanitary-heating-plumbing-air conditioning products (hereinafter "SACHA");  </w:t>
        <w:br/>
        <w:t xml:space="preserve">- electricity;  </w:t>
        <w:br/>
        <w:t xml:space="preserve">- structural work;  </w:t>
        <w:br/>
        <w:t xml:space="preserve">- tools;  </w:t>
        <w:br/>
        <w:t>3 Decisions of the Competition Authority No. 13-DCC-96 of July 23, 2013, regarding the exclusive control of Chausson materials of 88 business assets held by Wolseley France, No. 09-DCC-11 of June 2, 2009, regarding the exclusive control of the company FDE by the SAMSE group. See also the letter from the Minister of Economy C2006-21 of March 13, 2006, to the advisors of the company Wolseley, regarding a concentration in the construction materials sector.</w:t>
      </w:r>
    </w:p>
    <w:p>
      <w:r>
        <w:t xml:space="preserve">- paint;  </w:t>
        <w:br/>
        <w:t xml:space="preserve">- hardware;  </w:t>
        <w:br/>
        <w:t xml:space="preserve">- wood and carpentry;  </w:t>
        <w:br/>
        <w:t xml:space="preserve">- tiling;  </w:t>
        <w:br/>
        <w:t xml:space="preserve">- decoration and kitchen;  </w:t>
        <w:br/>
        <w:t xml:space="preserve">- products related to building chemistry ("chimitec");  </w:t>
        <w:br/>
        <w:t xml:space="preserve">- waterproofers;  </w:t>
        <w:br/>
        <w:t xml:space="preserve">- public works;  </w:t>
        <w:br/>
        <w:t>- roofing.</w:t>
      </w:r>
    </w:p>
    <w:p>
      <w:r>
        <w:t xml:space="preserve">9. It is not necessary, however, to question the exact delimitation of these markets insofar as, regardless of the segmentation chosen, the conclusions of the competitive analysis remain unchanged.  </w:t>
        <w:br/>
        <w:t xml:space="preserve">2. GEOGRAPHIC MARKETS  </w:t>
        <w:br/>
        <w:t xml:space="preserve">10. Decision-making practice considers at least a national dimension for the markets of supply of construction materials. The European Commission has notably emphasized that, in such markets, competition among the main suppliers, whether it concerns marketing strategy, commercial policy, or even the establishment of sales points, operates at the national level.  </w:t>
        <w:br/>
        <w:t xml:space="preserve">11. In this case, the analysis will be conducted at the national level, with the conclusions of the antitrust analysis remaining unchanged on markets of supranational dimension.  </w:t>
        <w:br/>
        <w:t xml:space="preserve">B. DOWNSTREAM MARKETS FOR THE TRADING OF CONSTRUCTION MATERIALS  </w:t>
        <w:br/>
        <w:t xml:space="preserve">1. PRODUCT MARKETS  </w:t>
        <w:br/>
        <w:t xml:space="preserve">12. The trading of construction materials is defined as "a traditional activity whereby traders sell from stock all the materials necessary for construction companies." This activity consists of wholesaling a wide assortment of materials that, although not substitutable for one another, are nevertheless necessary and often associated to carry out a construction project.  </w:t>
        <w:br/>
        <w:t xml:space="preserve">4 This category includes products such as sealants, resins, additives, or certain specific adhesives for construction.  </w:t>
        <w:br/>
        <w:t xml:space="preserve">5 Decision of the European Commission COMP/M.1873 of March 23, 2000, Compagnie de Saint Gobin Meyer International and the decisions of the Competition Authority No. 14-DCC-10 of January 28, 2014, regarding the exclusive control by Point P of 5 sales points of Wolseley France Bois et Matériaux and No. 15-DCC-29 of March 15, 2015, regarding the exclusive control of the company C Inv by the company SAMSE.  </w:t>
        <w:br/>
        <w:t xml:space="preserve">6 Decisions of the European Commission No. IV/M.486 of August 5, 1994, Holdercim/Origny – Desvroises and COMP/M.3313 of December 10, 2003, CRH/SAMSE/Doras. See also the decisions of the Competition Authority No. 11-DCC-66 of May 3, 2011, regarding the joint control of the company LNTP by the Queguiner and VM Matériaux groups and No. 15-DCC-29 mentioned above.  </w:t>
        <w:br/>
        <w:t>7 Letter from the Minister of Economy dated September 5, 2002, regarding a concentration in the construction materials sector.</w:t>
      </w:r>
    </w:p>
    <w:p>
      <w:r>
        <w:rPr>
          <w:b/>
        </w:rPr>
        <w:t>[Pages 4–6]</w:t>
      </w:r>
    </w:p>
    <w:p>
      <w:r>
        <w:t>13. The materials thus marketed are primarily intended for professionals, which implies specificities in the organization of product distribution as well as in the breadth and depth of the ranges of materials offered. This market is thus distinguished from the distribution of DIY equipment, insofar as the traders' offer is mainly aimed at professionals and not at individuals, unlike large DIY stores.</w:t>
      </w:r>
    </w:p>
    <w:p>
      <w:r>
        <w:t>14. Within the trade of construction materials, the decision-making practice of the Authority has distinguished between "generalist" traders and "specialist" traders based on the depth of the range of materials distributed. Thus, the offer of "generalist" traders covers a complete assortment of product ranges and is aimed at all actors in the construction sector. The "specialist" traders, whose offer is centered on a family of products, for their part offer deeper ranges and more advanced expertise on specific product lines, targeting more specific professionals. The Authority has, for example, considered that the specialized trade of SACHA products is likely to constitute a distinct market.</w:t>
      </w:r>
    </w:p>
    <w:p>
      <w:r>
        <w:t>15. The parties to the transaction are simultaneously present in the generalist trade of construction materials as well as, depending on the points of sale, in the specialist trade of SACHA products and in the specialist trade of structural materials.</w:t>
      </w:r>
    </w:p>
    <w:p>
      <w:r>
        <w:t>16. The decision-making practice of the Authority, which has distinguished the trade of SACHA products, could also apply to structural materials.</w:t>
      </w:r>
    </w:p>
    <w:p>
      <w:r>
        <w:t>17. It is not necessary, however, to question the exact delimitation of these markets insofar as, regardless of the segmentation chosen, the conclusions of the competitive analysis remain unchanged.</w:t>
      </w:r>
    </w:p>
    <w:p>
      <w:r>
        <w:t>2. GEOGRAPHIC MARKETS</w:t>
      </w:r>
    </w:p>
    <w:p>
      <w:r>
        <w:t>18. The decision-making practice of competition authorities considers that the market for the trade of construction materials is of a local dimension, as professionals in the building sector primarily make their purchases close to their area of operation. In practice, the distances traveled by buyers of construction materials vary depending on the degree of specialization of the relevant point of sale. The decision-making practice of competition authorities has thus retained catchment areas with a radius of up to 50 kilometers around the point of sale for generalist traders and approximately 50 to 75 kilometers around the point of sale for specialist traders.</w:t>
      </w:r>
    </w:p>
    <w:p>
      <w:r>
        <w:t>19. The actual behavior of consumers in a given area can, however, be specified with data collected by the points of sale on the actual location of their customers. It is generally considered that the catchment area of a point of sale can be limited to that which includes customers representing 80% of the point of sale's turnover or 80% of the point of sale's customers, depending on the available data. The remainder is considered as occasional and insignificant clientele, sometimes very distant from the point of sale.</w:t>
      </w:r>
    </w:p>
    <w:p>
      <w:r>
        <w:t>20. In this case, the notifying party identified, around each target point of sale for generalist trade, an area corresponding to a maximum travel distance of 50 kilometers, and around each point of sale for specialist trade, an area corresponding to a maximum travel distance of 75 kilometers. For each area thus delineated where an overlap of activity was observed, the notifying party refined the analysis by proposing, when it had relevant data, a catchment area delineated by the nearest municipalities to the store where 80% of the point of sale's customers are located.</w:t>
      </w:r>
    </w:p>
    <w:p>
      <w:r>
        <w:t>III. Competitive Analysis</w:t>
      </w:r>
    </w:p>
    <w:p>
      <w:r>
        <w:t>A. THE UPSTREAM MARKETS FOR THE SUPPLY OF CONSTRUCTION MATERIALS</w:t>
      </w:r>
    </w:p>
    <w:p>
      <w:r>
        <w:t>21. In the upstream markets for the supply of construction materials, the new entity will hold a market share of less than [0-5]%, regardless of the segmentation considered.</w:t>
      </w:r>
    </w:p>
    <w:p>
      <w:r>
        <w:t>22. Consequently, the transaction is not likely to harm competition through horizontal effects in these markets.</w:t>
      </w:r>
    </w:p>
    <w:p>
      <w:r>
        <w:t>B. THE DOWNSTREAM MARKETS FOR THE TRADE OF CONSTRUCTION MATERIALS</w:t>
      </w:r>
    </w:p>
    <w:p>
      <w:r>
        <w:t>23. The catchment areas have been determined according to the method previously described, around each point of sale of BFSA.</w:t>
      </w:r>
    </w:p>
    <w:p>
      <w:r>
        <w:t>24. The transaction does not result in any overlap of activity between the parties in the catchment areas defined around four points of sale under the "Balitrand" brand located in Arles (13), Avignon (84), Grasse (06), and Saint-Rémy-de-Provence (13).</w:t>
      </w:r>
    </w:p>
    <w:p>
      <w:r>
        <w:t>25. The activities of the parties overlap in 24 catchment areas around the points of sale that have all been considered active in the market for generalist trade of construction materials.</w:t>
      </w:r>
    </w:p>
    <w:p>
      <w:r>
        <w:t>26. The activities of the parties also overlap in 22 catchment areas around the points of sale that have also been considered specialist trades of construction materials for SACHA products (21) and structural materials (1).</w:t>
      </w:r>
    </w:p>
    <w:p>
      <w:r>
        <w:t>27. Each of these areas has been subject to a competitive analysis (see below), in accordance with the decision-making practice of the Authority which considers that the risk of anti-competitive effects in these markets can be ruled out if, following the transaction, at least two national or multi-regional competitors remain in the area concerned. Indeed, the presence of at least two stores owned by this category of competitors, backed by large groups, must ensure a sufficient alternative offer to that of the new entity. These competitors also have the logistical and commercial capabilities required to meet customer demand in a defined catchment area. The Authority considers that national or multi-regional competitors are groups operating through one or more brands across a large part of the national territory (and at least in two distinct regions) and consequently have a large number of points of sale.</w:t>
      </w:r>
    </w:p>
    <w:p>
      <w:r>
        <w:t>28. The Authority has thus considered, in the context of the examination of the transaction for the acquisition of Brossette by Point P, that the groups Saint Gobain, Comafranc, Richardson, and Descours &amp; Cabaud could be considered as national or multi-regional players in the market for specialist trade of SACHA products.</w:t>
      </w:r>
    </w:p>
    <w:p>
      <w:r>
        <w:t>1. MARKET FOR GENERALIST TRADE OF CONSTRUCTION MATERIALS</w:t>
      </w:r>
    </w:p>
    <w:p>
      <w:r>
        <w:t>29. All points of sale of BFSA are active in the market for generalist trade of construction materials. The transaction results in an overlap of activities between the parties in each of their catchment areas, except for the four points of sale mentioned above.</w:t>
      </w:r>
    </w:p>
    <w:p>
      <w:r>
        <w:t>30. The investigation has shown that, in each of these areas, at least two national or multi-regional competitors operate stores active in the market for generalist trade of construction materials.</w:t>
      </w:r>
    </w:p>
    <w:p>
      <w:r>
        <w:t>31. These include, depending on the areas, stores operated by Saint Gobain (brand "Point P"), Tout Faire Matériaux, and Descours &amp; Cabaud (brand "Prolians").</w:t>
      </w:r>
    </w:p>
    <w:p>
      <w:r>
        <w:t>32. Consequently, the transaction is not likely to harm competition through horizontal effects in these markets.</w:t>
      </w:r>
    </w:p>
    <w:p>
      <w:r>
        <w:rPr>
          <w:b/>
        </w:rPr>
        <w:t>[Pages 7–8]</w:t>
      </w:r>
    </w:p>
    <w:p>
      <w:r>
        <w:t>2. MARKET FOR SPECIALIST TRADE IN SACHA PRODUCTS</w:t>
      </w:r>
    </w:p>
    <w:p>
      <w:r>
        <w:t>33. All of BFSA's sales outlets are also active in the market for specialist trade in SACHA products, except for the sales outlets under the brands "Home Store" and "Bigmat," and one sales outlet under the brand "Balitrand" located in Le Cannet (06).</w:t>
      </w:r>
    </w:p>
    <w:p>
      <w:r>
        <w:t>34. Each of their catchment areas overlaps with at least one of the sales outlets under the brand "Salica Anconetti" of the acquirer, which are specialized in the trade of SACHA products.</w:t>
      </w:r>
    </w:p>
    <w:p>
      <w:r>
        <w:t>35. The investigation has shown that, in each of these areas, at least two national or multi-regional competitors operate stores active in the market for specialist trade in SACHA products.</w:t>
      </w:r>
    </w:p>
    <w:p>
      <w:r>
        <w:t>36. These include, in each of these areas, stores operated by Saint Gobain (brands "Brossette," "Cédéo," and "Clim +") or Richardson. Other national competitors, such as Comafranc and Algorel, also have stores in several of these areas.</w:t>
      </w:r>
    </w:p>
    <w:p>
      <w:r>
        <w:t>37. Consequently, the transaction is not likely to harm competition through horizontal effects in these markets.</w:t>
      </w:r>
    </w:p>
    <w:p>
      <w:r>
        <w:t>3. MARKET FOR SPECIALIST TRADE IN STRUCTURAL MATERIALS</w:t>
      </w:r>
    </w:p>
    <w:p>
      <w:r>
        <w:t>38. BFSA is present in the market for specialist trade in structural materials through a single sales outlet, under the brand "Bigmat," located in Cannes (06).</w:t>
      </w:r>
    </w:p>
    <w:p>
      <w:r>
        <w:t>39. The catchment area of this store overlaps with 24* sales outlets under the brand "Ciffréo Bona" of the acquirer, also specialized in the trade of structural materials.</w:t>
      </w:r>
    </w:p>
    <w:p>
      <w:r>
        <w:t>40. The investigation has shown that, in this area, three national or multi-regional competitors operate stores active in the market for specialist trade in structural materials.</w:t>
      </w:r>
    </w:p>
    <w:p>
      <w:r>
        <w:t>41. These include, depending on the areas, stores operated by Saint Gobain (brand "Point P" (14) and "La Plateforme du Bâtiment" (3)), Tout Faire Matériaux (9), and Descours &amp; Cabaud (brand "Prolians" (5)).</w:t>
      </w:r>
    </w:p>
    <w:p>
      <w:r>
        <w:t>42. Consequently, the transaction is not likely to harm competition through horizontal effects in these markets.</w:t>
      </w:r>
    </w:p>
    <w:p>
      <w:r>
        <w:t>* Correction of material error.</w:t>
      </w:r>
    </w:p>
    <w:p>
      <w:r>
        <w:t>DECIDES</w:t>
      </w:r>
    </w:p>
    <w:p>
      <w:r>
        <w:t>Sole Article: The transaction notified under number 17-162 is authorized.</w:t>
      </w:r>
    </w:p>
    <w:p>
      <w: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