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w:t>
      </w:r>
    </w:p>
    <w:p>
      <w:r>
        <w:t>Pages translated : 8</w:t>
      </w:r>
    </w:p>
    <w:p/>
    <w:p>
      <w:r>
        <w:rPr>
          <w:b/>
        </w:rPr>
        <w:t>[Pages 1–3]</w:t>
      </w:r>
    </w:p>
    <w:p>
      <w:r>
        <w:t>FRENCH REPUBLIC</w:t>
        <w:br/>
        <w:t>Decision No. 10-DCC-48 of June 2, 2010</w:t>
        <w:br/>
        <w:t>regarding the exclusive control of Amonite SAS by Manuloc SA</w:t>
        <w:br/>
        <w:t>The Competition Authority,</w:t>
        <w:br/>
        <w:t>Having regard to the notification file sent to the merger service on April 20, 2010, declared complete on April 29, 2010, regarding the exclusive control of Amonite SAS by Manuloc SA formalized by a share transfer agreement dated April 7, 2010;</w:t>
        <w:br/>
        <w:t>Having regard to Book IV of the Commercial Code relating to the freedom of prices and competition, and in particular Articles L. 430-1 to L. 430-7;</w:t>
        <w:br/>
        <w:t>Having regard to the supplementary elements transmitted by the parties during the investigation;</w:t>
        <w:br/>
        <w:t>Adopts the following decision:</w:t>
        <w:br/>
        <w:t>I. The concerned companies and the operation</w:t>
        <w:br/>
        <w:t>1. Manuloc SA is a public limited company whose capital is held by more than 83% by Ms. Catherine Barthelemy and her family members, directly or indirectly via the holding company CBV SAS (82.25%). The remaining capital of Manuloc SA is distributed among three institutional investors - CIC Investissement Est (9.99%), CIC Investissement Alsace (2.5%), and FPPR Siparex SPF III (4.16%) - and one director holding one share.</w:t>
        <w:br/>
        <w:t>2. Manuloc SA is the parent company of the Manuloc group (hereinafter "Manuloc"), active in the distribution and maintenance of industrial handling equipment. Manuloc distributes several brands of manufacturers (Komatsu1, Kalmar2, Nissan3, etc.). Its main clients come from the industry (automotive, metallurgy, logistics, agri-food). For some of them, Manuloc also provides logistics and handling services that represent a marginal part of its activity. In 2008, the CBV group achieved a total worldwide turnover excluding taxes of 131.2 million euros, of which 125.4 million euros were generated in France.</w:t>
        <w:br/>
        <w:t>3. Amonite SAS is a simplified joint-stock company, the parent company of all the companies4 forming the Amonite group (hereinafter "Amonite"), active in the distribution and maintenance sector of industrial handling equipment of the Hyster brand5 and lifting machinery. In 2008, Amonite achieved a total worldwide turnover excluding taxes of 108.9 million euros, of which 108.4 million euros were generated in France.</w:t>
        <w:br/>
        <w:t>4. The contemplated transaction consists of the acquisition by Manuloc SA of 100% of the shares, voting rights, and securities that may give immediate or deferred access to the capital of Amonite SAS. This transaction was formalized by a transfer agreement signed on April 7, 2010. As it results in the exclusive control of Amonite SAS by Manuloc SA, the notified transaction constitutes a concentration within the meaning of Article L. 430-1 of the Commercial Code. Given the turnover of the concerned companies, it is not of community dimension. However, the notification thresholds provided for by Article L. 430-2 of the Commercial Code are exceeded. This transaction is therefore subject to the provisions of Articles L. 430-3 and following of the Commercial Code relating to economic concentration.</w:t>
        <w:br/>
        <w:t>II. Delimitation of relevant markets</w:t>
        <w:br/>
        <w:t>5. The parties are simultaneously present in the market for the distribution of industrial handling equipment, and more marginally in that of aerial work platforms and lifts. The parties are also active in the maintenance market for these same equipment.</w:t>
        <w:br/>
        <w:t>6. The parties, occasionally offering products and services outside their usual scope of activity, are present, in a residual manner, in certain product markets (sweepers, telehandlers, industrial tractors) and service markets (ground handling services for the buyer, training services for operating warehouse equipment for the target). Except for logistics services, these activities represent only a marginal part of their turnover, between 0.05 and 1.3% for either party. Due to the absence of overlaps or the limited positions of the parties in these products and services, the transaction is not likely to have competitive effects on these ancillary activities, which will not be subject to specific competitive analysis.</w:t>
        <w:br/>
        <w:t>4 The companies Philippe Manutention, Cedal Contrôle, Albatros Sud Est, Amonite Sud Est, and Philippe MTL.</w:t>
        <w:br/>
        <w:t>5 The Hyster brand is marketed by Nacco Materials Handling Limited, which has entered into an exclusivity agreement with Amonite for the distribution and supply of Hyster brand handling equipment.</w:t>
      </w:r>
    </w:p>
    <w:p>
      <w:r>
        <w:t>A. DELIMITATION OF PRODUCT MARKETS</w:t>
        <w:br/>
        <w:t>1. MARKETS FOR THE DISTRIBUTION OF INDUSTRIAL HANDLING EQUIPMENT AND AERIAL WORK PLATFORMS</w:t>
        <w:br/>
        <w:t>a) Distinction by category of equipment</w:t>
        <w:br/>
        <w:t>7. Regarding industrial handling equipment, the community decision-making practice6 distinguishes two product markets: the market for counterbalanced forklifts on one hand, and that for warehouse equipment on the other.</w:t>
        <w:br/>
        <w:t>8. Counterbalanced forklifts are ride-on trucks, with either electric or internal combustion engines, equipped with a fork or platform and a mast allowing them to lift and transport loads as well as raise them to height. There is a wide variety of counterbalanced forklifts distinguished by their loading capacities or their motorization, but all counterbalanced machines share the same characteristics: (i) they lift loads outside the base of their axle and are therefore equipped with a counterweight (counterbalanced), (ii) they can carry loads both horizontally and vertically, (iii) they have a maximum lifting capacity ranging from 4 to 6 meters, (iv) they have a loading capacity ranging from 0.6 to 50 tons, and (v) they are maneuverable and often used within warehouses or storage areas.</w:t>
        <w:br/>
        <w:t>9. Warehouse equipment is more specifically intended for the intensive handling of loads and/or pallets within warehouses or storage areas. There are several categories of warehouse equipment: pallet trucks and low-lift trucks (stand-on or ride-on), which do not allow for substantial vertical lifting, and platform or fork trucks equipped with a mast, which allow for vertical lifting up to 13 meters high. These handling trucks are commonly referred to as "pallet trucks," "stackers," and "order pickers."</w:t>
        <w:br/>
        <w:t>10. In the field of lifting equipment, national decision-making practice has been led to examine the market for aerial work platforms and lifts, within which it distinguished self-propelled lifts from towed lifts7, considering the differences in price, usage, demand structure, and supply. The question of distinguishing lifts intended for elevating people from those designed for elevating loads has been left open. In this case, the parties are only present in the self-propelled lifts, and it is not necessary to resolve the question of the exact delimitation of this market, as the competitive analysis remains unchanged regardless of the hypothesis retained.</w:t>
        <w:br/>
        <w:t>b) Segmentation according to the distribution circuit</w:t>
        <w:br/>
        <w:t>11. There are two distribution circuits for industrial handling equipment aimed at professionals:</w:t>
        <w:br/>
        <w:t>6 See the decisions of the European Commission COMP IV/M.256 Linde/Fiat (September 28, 1992), COMP IV/M.1950 Toyoda Automatic Loom Works/BT Industries (June 15, 2000), COMP IV/M.2844 Linde/Komatsu/Komatsu Forklift (December 19, 2002), COMP IV/M.4478 KKR/Goldman Sachs/Kion (December 20, 2006).</w:t>
        <w:br/>
        <w:t>7 See the letters from the Minister of Economy, Finance and Industry dated September 18, 2002, to the board of Terex Corporation regarding a concentration in the sector of the production and marketing of self-propelled and towed aerial work platforms and lifts, and dated November 19, 2003, to the board of Pinguely regarding a concentration in the sector of the rental of lifting equipment.</w:t>
      </w:r>
    </w:p>
    <w:p>
      <w:r>
        <w:rPr>
          <w:b/>
        </w:rPr>
        <w:t>[Pages 4–6]</w:t>
      </w:r>
    </w:p>
    <w:p>
      <w:r>
        <w:t>- Direct selling consists of manufacturers selling their products themselves, or through an integrated distribution network, to end users. This distribution channel is particularly suited to large accounts that issue European tenders.</w:t>
        <w:br/>
        <w:t>- Indirect selling involves a wholesaler or an independent distributor between the manufacturer and the final customer. These independent distributors choose to enter into an exclusivity contract with a manufacturer that does not have an integrated network or choose to distribute several competing brands. This second distribution circuit generally relies on a network of agencies within the national territory, more suited to local customers. Additionally, independent distributors are bound to manufacturers by distribution contracts systematically accompanied by territorial zones outside of which active sales are prohibited, thereby de facto reducing the influence area of these independent distributors.</w:t>
        <w:br/>
        <w:t>12. In this case, the parties belong to the second category of sellers and are contractually linked to a manufacturer brand (the target) or several (the acquirer). According to the parties, both distribution circuits are fully competitive, target the same clientele, and offer product ranges that are perfectly comparable in terms of functionality, reliability, and price.</w:t>
        <w:br/>
        <w:t>13. Indeed, the ranges of industrial handling products do not include specific equipment dedicated to large accounts, and the suppliers do not apply differentiated pricing by type of clientele. In this case, the parties do not prohibit themselves from bidding on European tenders by limiting their response to their reserved distribution areas. Therefore, it does not seem relevant to segment the market for the distribution of industrial handling equipment according to the type of clientele.</w:t>
        <w:br/>
        <w:t>c) Distinction by mode of marketing</w:t>
        <w:br/>
        <w:t>14. The parties offer their products for purchase or long-term rental (also known as financial leasing) interchangeably. The parties propose to retain a single market for the placement of industrial handling equipment encompassing both the sale and financial leasing of handling equipment.</w:t>
        <w:br/>
        <w:t>15. Long-term rental is a preferred solution for companies to finance equipment of all kinds, subject to accelerated depreciation and requiring significant investment for acquisition. While this service is generally linked to product markets in the same way as maintenance, national decision-making practice highlights that the main providers of this service are financial institutions, affiliated or not with the manufacturers of the concerned goods. Both community and national practices distinguish financial leasing services from rental services with an option to purchase at the end of the contract, at a predetermined price, more commonly referred to as "credit-bail" or "leasing." These two modes of financing differ based on whether the financial risks inherent to the ownership of the equipment are borne by the lessor or the client on one hand, and whether the provider of this service has the status of a credit institution on the other hand. Indeed, any company governed by the commercial code can offer financial leasing to its clients by self-financing it, whereas credit-bail requires the intermediation of a credit institution. However, the bulk of the financial leasing market is covered by credit institutions, either directly or through their subsidiaries.</w:t>
        <w:br/>
        <w:t>16. The parties consider that, from the demand perspective, purchase and financial leasing are viewed solely as alternative financing modalities. This arbitration between different financing modalities (self-financing, debt, credit-bail, financial leasing, etc.) does not interfere with the nature of the demand in terms of the products sought by their clients. On the supply side, the vast majority of market players in handling equipment are associated with financing companies, captive subsidiaries of equipment manufacturers or specialized subsidiaries of banking institutions, to offer their clients various financing options including credit-bail and financial leasing. The available data on the sector seem to support the parties' viewpoint.</w:t>
        <w:br/>
        <w:t>17. The investigation found the interpenetration of sales and financial leasing operations in the sector data. Indeed, distributors associated with a dedicated financial institution account for the sale to the financial institution, which in turn leases the equipment to the user. This is the case with the distribution network of the manufacturer Fenwick Linde. Distributors that are not backed by a single financial partner like the target can, however, sell the equipment to a financial institution and immediately take it back on lease for their account and place it themselves with their client in order to maintain the direct contractual relationship with the users. The annual statistics produced by professional associations in the sector are expressed in terms of equipment placed and do not include the distinction between sale and long-term rental.</w:t>
        <w:br/>
        <w:t>18. The handling equipment placed on financial lease by the parties is for a duration of 4 to 5 years, which corresponds, according to the parties, to the average lifespan of the equipment and the accounting depreciation period retained for this type of asset. At the end of the rental period, the equipment is no longer likely to be placed with a client. These pieces of equipment are subject to rapid obsolescence due to technological advancements and frequent updates to safety standards.</w:t>
        <w:br/>
        <w:t>19. In light of the above, it does not seem relevant to segment the market for the distribution of industrial handling equipment according to the modes of marketing represented by sale, on one hand, and long-term rental on the other, to assess the effects of the present operation.</w:t>
        <w:br/>
        <w:t>2. THE MARKET FOR THE MAINTENANCE OF INDUSTRIAL HANDLING EQUIPMENT</w:t>
        <w:br/>
        <w:t>20. The parties are simultaneously present in the sector of maintenance of industrial handling equipment. These maintenance services consist of preventive maintenance (inspections, checks) and corrective maintenance (repair of breakdowns and/or accidental damages, replacement of parts) of the equipment.</w:t>
        <w:br/>
        <w:t>21. The European Commission has considered, while leaving the question open, that the market for maintenance and the supply of spare parts for handling equipment constitutes a distinct market given that other providers, little or not present at the distribution stage, can offer maintenance contracts such as equipment manufacturers, suppliers of manufacturers.</w:t>
        <w:br/>
        <w:t>22. The parties emphasize that, like their competitors, maintenance services and the supply of spare parts are almost systematically linked to the placement of a handling machine, whether sold or rented for a long duration, in the form of a comprehensive offer. However, within this broadly defined maintenance market, the supply of spare parts is more likely to be offered independently than the services.</w:t>
        <w:br/>
        <w:t>23. The question of the existence and delimitation of a distinct market for the maintenance of industrial handling equipment may, however, remain open in the context of this decision, the analysis remaining unchanged regardless of the hypothesis retained.</w:t>
        <w:br/>
        <w:t>3. THE MARKET FOR LOGISTICS SERVICES</w:t>
        <w:br/>
        <w:t>24. Decision-making practice defines logistics services as services that connect the various links of a supply chain of goods between an origin point and a destination point in order to optimally manage the flow and storage of said goods. This activity can be likened to a comprehensive offer as it combines a set of services such as storage, inventory management, order taking, and transportation of goods at a time and place defined by the client. The possibility of segmenting this market more finely by product types (perishable goods, toxic products, flammable products) has been left open given that the majority of logistics operators can easily adapt to the demands of supply and demand.</w:t>
        <w:br/>
        <w:t>25. In this case, the question will be left open, with the conclusions of the competitive analysis remaining unchanged regardless of the segmentation retained.</w:t>
        <w:br/>
        <w:t>B. GEOGRAPHICAL DELIMITATION OF MARKETS</w:t>
        <w:br/>
        <w:t>1. MARKETS FOR THE DISTRIBUTION OF INDUSTRIAL HANDLING EQUIPMENT AND AERIAL WORK PLATFORMS</w:t>
        <w:br/>
        <w:t>26. The Commission, in its assessment of the acquisition of the manufacturer BTI by its competitor TAL (Toyota group), considered the European Economic Area (EEA) as the relevant geographical market for the marketing of industrial handling equipment, whether counterbalanced forklifts or warehouse equipment, in light of the homogeneity of competitive conditions in the area. The absence of regulatory or technical barriers to entry into the market, the low transportation costs, the homogenization of supplier prices at the European level, and the presence of most manufacturers in the area support this analysis. The European Commission has emphasized</w:t>
      </w:r>
    </w:p>
    <w:p>
      <w:r>
        <w:rPr>
          <w:b/>
        </w:rPr>
        <w:t>[Pages 7–8]</w:t>
      </w:r>
    </w:p>
    <w:p>
      <w:r>
        <w:t>that the largest clients leverage competition following European tenders covering the needs of all their operational sites spread across the various EEA states. The Commission also noted that the importance of distribution and service networks is an element that could indicate the existence of national markets, without this market characteristic preventing the growth of transnational sales. The Commission ultimately concluded that the relevant market was the EEA.</w:t>
      </w:r>
    </w:p>
    <w:p>
      <w:r>
        <w:t>27. The distribution market is, however, divided between manufacturers of European or global size and distributors whose geographical reach is much more limited. In this case, the parties, who are distributors and not manufacturers, are bound by exclusivity contracts covering specific geographical areas beyond which they cannot engage in active sales. Manuloc and Amonite generate more than 95% and 99% of their turnover in France, respectively. It cannot therefore be completely ruled out that it may be relevant to assess the present operation in a market of national dimension.</w:t>
      </w:r>
    </w:p>
    <w:p>
      <w:r>
        <w:t>28. The analysis of the present operation will be conducted at the national level, the most unfavorable hypothesis for the parties, whose positions outside France are very limited. In any case, it is not necessary to resolve the question of the geographical delimitation of these markets in the context of this decision, as its conclusions remain unchanged, regardless of the dimension retained.</w:t>
      </w:r>
    </w:p>
    <w:p>
      <w:r>
        <w:t>29. Regarding the distribution of aerial work platforms and lifts, national decision-making practice has considered that the relevant geographical market corresponds to the European Economic Area with a trend towards globalization. The question of the geographical dimension of this market can also be left open since, in any case, the conclusions of the analysis remain unchanged. The competitive analysis will rely on the national market shares of the parties; the conclusion of the analysis would remain unchanged if the operation were assessed in broader geographical markets.</w:t>
      </w:r>
    </w:p>
    <w:p>
      <w:r>
        <w:t>2. THE MARKET FOR THE MAINTENANCE OF INDUSTRIAL HANDLING EQUIPMENT</w:t>
      </w:r>
    </w:p>
    <w:p>
      <w:r>
        <w:t>30. As for the markets for industrial maintenance, decision-making practice has generally considered a national delimitation. There is no reason to challenge this delimitation in the context of this decision.</w:t>
      </w:r>
    </w:p>
    <w:p>
      <w:r>
        <w:t>3. THE MARKET FOR LOGISTICS SERVICES</w:t>
      </w:r>
    </w:p>
    <w:p>
      <w:r>
        <w:t>31. Decision-making practice considers that the market for logistics services and its possible segmentations has a national dimension. There is no reason to challenge this delimitation in the context of this decision.</w:t>
      </w:r>
    </w:p>
    <w:p>
      <w:r>
        <w:t>III. Competitive Analysis</w:t>
      </w:r>
    </w:p>
    <w:p>
      <w:r>
        <w:t>32. The competitive analysis will rely on the estimates of market shares in volume provided by the parties.</w:t>
      </w:r>
    </w:p>
    <w:p>
      <w:r>
        <w:t>33. In the French markets for industrial handling equipment, the new entity will hold [5-10]% market share in the counterbalanced forklift segment and will continue to face the leader, the Kion group holding the Fenwick Linde brands ([20-30]%) and Still ([5-10]%), as well as other competitors such as the Bergerat-Monnoyeur group ([5-10]%), exclusive distributor of the Mitsubishi and Caterpillar brands, the French Handling Company, distributor of Toyota products ([10-20]%), and Jungheinrich France ([5-10]%). In the warehouse equipment segment, the position of the new entity will remain modest following the operation, with [0-5]% market share, facing strong competitors such as Fenwick Linde ([20-30]%), Jungheinrich France ([20-30]%), Still ([10-20]%), or BT, a brand of the Toyota group, ([10-20]%). In the market for aerial work platforms and lifts, the parties will represent only [0-5]% of the French market following the operation and will face solid competitors such as the Manitou or JCB groups.</w:t>
      </w:r>
    </w:p>
    <w:p>
      <w:r>
        <w:t>34. The parties have not been able to provide estimates of market shares in the maintenance markets for the various equipment (counterbalanced forklifts, warehouse equipment, aerial work platforms, and lifts) concerned by the operation. However, it should be noted that their market shares in the distribution markets for these equipment constitute a significant portion of their market shares in any distinct maintenance markets for these same equipment, given the existence of providers in the maintenance market who are absent at the distribution stage, adding to the overall offer of distributors integrating maintenance.</w:t>
      </w:r>
    </w:p>
    <w:p>
      <w:r>
        <w:t>35. Regarding the potential conglomerate effects of the operation, the positions acquired will not allow the future entity to leverage a range or portfolio effect. The brands distributed by the new entity will remain substitutable with many other brands of equivalent notoriety offering the same ranges of equipment. Finally, the position acquired at the distribution stage is not such as to allow the new entity to advance its position in the logistics services market, a market already very fragmented in which the acquirer holds only 0.25% market share.</w:t>
      </w:r>
    </w:p>
    <w:p>
      <w:r>
        <w:t>36. The operation is therefore not likely to harm competition.</w:t>
      </w:r>
    </w:p>
    <w:p>
      <w:r>
        <w:t>DECIDES</w:t>
      </w:r>
    </w:p>
    <w:p>
      <w:r>
        <w:t>Sole Article: The operation notified under number 10-0039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