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https://www.autoritedelaconcurrence.fr/fr/decision-de-controle-des-concentrations/relative-la-prise-de-controle-exclusif-de-la-societe-191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17-DCC-206 of December 5, 2017</w:t>
        <w:br/>
        <w:t>regarding the exclusive control acquisition of the company Organic Alliance</w:t>
        <w:br/>
        <w:t>by the company Céréa Partenaire</w:t>
        <w:br/>
        <w:t>The Competition Authority,</w:t>
        <w:br/>
        <w:t>Having regard to the complete notification file submitted to the mergers department on November 7, 2017,</w:t>
        <w:br/>
        <w:t>concerning the exclusive control acquisition of the company Organic Alliance by the company Céréa</w:t>
        <w:br/>
        <w:t>Partenaire, formalized by a share purchase agreement dated October 10, 2017;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parties during the investigation;</w:t>
        <w:br/>
        <w:t>Adopts the following decision:</w:t>
        <w:br/>
        <w:t>1. The notified operation consists of the exclusive control acquisition by the company Céréa Partenaire of</w:t>
        <w:br/>
        <w:t>the company Organic Alliance and its subsidiaries, which are active in the markets for</w:t>
        <w:br/>
        <w:t>the supply of food products and the wholesale distribution of food products. It constitutes a concentration within the meaning of Article L. 430-1 of the Commercial Code. Given the turnover achieved by the concerned companies,</w:t>
        <w:br/>
        <w:t>the operation does not fall under the jurisdiction of the European Union. On the other hand,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The markets concerned by the operation are the upstream market for the supply of</w:t>
        <w:br/>
        <w:t>food products and the downstream market for the wholesale distribution of food products. These</w:t>
        <w:br/>
        <w:t>markets are consistently defined by the decision-making practice of the Competition Authority.</w:t>
        <w:br/>
        <w:t>3. Regardless of the segmentations retained, the addition of the market shares of the parties</w:t>
        <w:br/>
        <w:t>does not exceed two points.</w:t>
        <w:br/>
        <w:t>4. Considering the elements of the file and in particular in light of point 398 of the guidelines of</w:t>
        <w:br/>
        <w:t>the Competition Authority relating to the control of concentrations, the operation is not of</w:t>
        <w:br/>
        <w:t>a nature to harm competition.</w:t>
      </w:r>
    </w:p>
    <w:p>
      <w:r>
        <w:t>DECIDES</w:t>
        <w:br/>
        <w:t>Sole Article: The operation notified under number 17-226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