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https://www.autoritedelaconcurrence.fr/fr/decision-de-controle-des-concentrations/relative-la-prise-de-controle-exclusif-de-la-societe-192</w:t>
      </w:r>
    </w:p>
    <w:p>
      <w:r>
        <w:t>Pages translated : 2</w:t>
      </w:r>
    </w:p>
    <w:p/>
    <w:p>
      <w:r>
        <w:rPr>
          <w:b/>
        </w:rPr>
        <w:t>[Pages 1–2]</w:t>
      </w:r>
    </w:p>
    <w:p>
      <w:r>
        <w:t xml:space="preserve">FRENCH REPUBLIC  </w:t>
        <w:br/>
        <w:t xml:space="preserve">Decision No. 17-DCC-226 of December 22, 2017  </w:t>
        <w:br/>
        <w:t xml:space="preserve">regarding the exclusive control acquisition of the company Malaptias Finances  </w:t>
        <w:br/>
        <w:t xml:space="preserve">by the company PGA Motors  </w:t>
        <w:br/>
        <w:t xml:space="preserve">The Competition Authority,  </w:t>
        <w:br/>
        <w:t xml:space="preserve">Having regard to the complete notification file submitted to the mergers department on December 8, 2017,  </w:t>
        <w:br/>
        <w:t xml:space="preserve">concerning the exclusive control acquisition of the company Malaptias Finances and its subsidiaries by the  </w:t>
        <w:br/>
        <w:t xml:space="preserve">company PGA Motors, formalized by a letter of intent dated November 8,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PGA Motors of exclusive control  </w:t>
        <w:br/>
        <w:t xml:space="preserve">of the company Malaptias Finances and its subsidiaries, including the company Marchal Automobiles which  </w:t>
        <w:br/>
        <w:t xml:space="preserve">operates two car dealerships of Audi and Volkswagen brands, in the department of Marne (51).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related to retail trade mentioned in II of Article L. 430-2 of the Commercial Code are exceeded. This operation is therefore subject to the provisions of Articles  </w:t>
        <w:br/>
        <w:t xml:space="preserve">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17-269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