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https://www.autoritedelaconcurrence.fr/fr/decision-de-controle-des-concentrations/relative-la-prise-de-controle-exclusif-de-la-societe-193</w:t>
      </w:r>
    </w:p>
    <w:p>
      <w:r>
        <w:t>Pages translated : 6</w:t>
      </w:r>
    </w:p>
    <w:p/>
    <w:p>
      <w:r>
        <w:rPr>
          <w:b/>
        </w:rPr>
        <w:t>[Pages 1–3]</w:t>
      </w:r>
    </w:p>
    <w:p>
      <w:r>
        <w:t>FRENCH REPUBLIC</w:t>
        <w:br/>
        <w:t>Decision No. 17-DCC-236 of December 29, 2017</w:t>
        <w:br/>
        <w:t>regarding the exclusive control of the company Business &amp; Decision</w:t>
        <w:br/>
        <w:t>by the company Orange</w:t>
        <w:br/>
        <w:t>The Competition Authority,</w:t>
        <w:br/>
        <w:t>Having regard to the notification file submitted in full to the merger service on December 6, 2017,</w:t>
        <w:br/>
        <w:t>regarding the exclusive control of the company Business &amp; Decision by the company Orange,</w:t>
        <w:br/>
        <w:t>formalized by a share transfer agreement dated October 25, 2017;</w:t>
        <w:br/>
        <w:t>Having regard to Book IV of the Commercial Code relating to the freedom of prices and competition, and</w:t>
        <w:br/>
        <w:t>notably its Articles L. 430-1 to L. 430-7;</w:t>
        <w:br/>
        <w:t>Having regard to the supplementary elements transmitted by the notifying party during the investigation;</w:t>
        <w:br/>
        <w:t>Adopts the following decision:</w:t>
        <w:br/>
        <w:t>I. The concerned companies and the operation</w:t>
        <w:br/>
        <w:t>1. Orange is a public limited company listed on the Euronext Paris and New York Stock Exchange, with 72% of its capital held by institutional and individual shareholders, 23% by the State and BPI France, and 5% by employees. It heads the Orange group (formerly France Telecom), an electronic communications operator targeting individual, professional, and large corporate clients. Orange Business Services is the entity of the Orange group that provides telecommunications and IT services in France and worldwide.</w:t>
        <w:br/>
        <w:t>2. Business &amp; Decision is a public limited company listed on the Euronext Paris market, with its capital predominantly held by the Bensabat family. It heads a group composed of 28 subsidiaries active in the provision of IT services, particularly in data analysis, and the development and integration of software and applications, targeting professional clients.</w:t>
        <w:br/>
        <w:t>The Bensabat family holds 63.98% of the capital of Business &amp; Decision (representing 76.02% of the voting rights), the remainder of the capital and voting rights is floating.</w:t>
      </w:r>
    </w:p>
    <w:p>
      <w:r>
        <w:t>3. The contemplated transaction, formalized by a share transfer agreement dated October 25, 2017, involves the acquisition of 63.98% of the capital, representing 76.02% of the voting rights, of Business &amp; Decision by the company Network Related Services, a subsidiary of the Orange group.</w:t>
        <w:br/>
        <w:t>4. As it results in the exclusive control of Business &amp; Decision by the Orange group, the notified transaction constitutes a concentration within the meaning of Article L. 430-1 of the Commercial Code.</w:t>
        <w:br/>
        <w:t>5. The companies concerned together achieve a total worldwide turnover excluding taxes of more than 150 million euros (Orange: [...] euros for the fiscal year ending December 31, 2016; Business &amp; Decision: [...] euros for the same fiscal year). Each of these companies has achieved in France a turnover exceeding 50 million euros (Orange: [...] euros for the fiscal year ending December 31, 2016; Business &amp; Decision: [...] euros for the same fiscal year).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br/>
        <w:t>II. Definition of the relevant markets</w:t>
        <w:br/>
        <w:t>6. The contemplated transaction primarily concerns the IT services sector.</w:t>
        <w:br/>
        <w:t>A. THE SERVICE MARKETS</w:t>
        <w:br/>
        <w:t>7. The European and national competition authorities have identified, within the IT services market, seven functional categories of service: (i) global management services, (ii) enterprise management services, (iii) software development and integration, (iv) consulting, (v) software maintenance and logistical support, (vi) maintenance of IT equipment and logistical support, and (vii) education and training. However, it has not been excluded that these seven categories of services could be considered as belonging to a global IT services market to the extent that clients generally seek a service integrating all the activities described above, and there is a high degree of substitutability on the supply side.</w:t>
        <w:br/>
        <w:t>8. The European Commission has also considered several sub-segments within the global management services segment according to the type of service offered: (i) "Public Cloud Computing" services, (ii) IaaS ("infrastructure as a service") services, (iii) IT infrastructure outsourcing services including data center services, network outsourcing, outsourcing for end-user equipment as well as outsourcing of IT support activities, and (iv) application outsourcing services. The Authority has also questioned the existence of a distinct segment for IT security (security and confidentiality of IT data).</w:t>
        <w:br/>
        <w:t>9. Various alternative or complementary segmentations have also been considered according to:</w:t>
        <w:br/>
        <w:t>− the type of clientele: SMEs or large accounts;</w:t>
        <w:br/>
        <w:t>− the types of information and communication systems: (i) management application systems, which include IT services used to fulfill a horizontal function within companies or administrations; (ii) embedded scientific technical industrial application systems; (iii) generic application systems; (iv) IT infrastructure systems; and (v) communication and enterprise network infrastructure systems;</w:t>
        <w:br/>
        <w:t>− the sector of activity, namely: (i) communications, (ii) education, (iii) energy and local networks, (iv) financial services, (v) public sector, (vi) health, (vii) industry, (viii) commerce and distribution, (ix) services, and (x) transport.</w:t>
        <w:br/>
        <w:t>10. In this case, the question of the exact delimitation of these markets can be left open, the conclusions of the competitive analysis remaining unchanged, regardless of the definition retained.</w:t>
        <w:br/>
        <w:t>B. THE GEOGRAPHICAL MARKETS</w:t>
        <w:br/>
        <w:t>11. The Authority has considered that the IT services market is of national dimension, notably due to the necessity for service providers to communicate regularly in the language of their clients and to maintain a relative proximity to them. The European Commission has not excluded a European dimension of this market.</w:t>
        <w:br/>
        <w:t>12. In this case, the question of the exact dimension of these markets can be left open, the conclusions of the competitive analysis remaining unchanged, regardless of the definition retained.</w:t>
      </w:r>
    </w:p>
    <w:p>
      <w:r>
        <w:rPr>
          <w:b/>
        </w:rPr>
        <w:t>[Pages 4–6]</w:t>
      </w:r>
    </w:p>
    <w:p>
      <w:r>
        <w:t xml:space="preserve">III. Competitive Analysis  </w:t>
        <w:br/>
        <w:t xml:space="preserve">13. The parties are simultaneously active in the IT services market (A). Additionally, the Orange group is also a purchaser in this market, as it sources, marginally, from Business &amp; Decision (B). The Orange group is also active in the electronic communications markets considered as related markets to the IT services market10 (C).  </w:t>
        <w:br/>
        <w:t xml:space="preserve">A. ANALYSIS OF HORIZONTAL EFFECTS  </w:t>
        <w:br/>
        <w:t xml:space="preserve">14. In the national IT services market, the combined market share of the parties is estimated at [0-5]% in 201611. According to the notifying party's estimates, the highest market share of Business &amp; Decision reached, in 2016, [0-5]%12.  </w:t>
        <w:br/>
        <w:t xml:space="preserve">15. Furthermore, regardless of the segmentations considered in the IT services markets, the combined market share of the parties remains limited13 and, in any case, below 20%. Moreover, the new entity will face competition from large global groups, such as Capgemini, Atos, or IBM, active in all the relevant markets.  </w:t>
        <w:br/>
        <w:t xml:space="preserve">16. Therefore, the transaction is not likely to harm competition through horizontal effects.  </w:t>
        <w:br/>
        <w:t xml:space="preserve">B. ANALYSIS OF VERTICAL EFFECTS  </w:t>
        <w:br/>
        <w:t xml:space="preserve">17. A vertical concentration can restrict competition by making access to the markets in which the new entity will be active more difficult, or potentially by excluding competitors or penalizing them through increased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18. However, the Authority nevertheless considers that it is unlikely that a company with a market share below 30% in a given market could lock a downstream or upstream market.  </w:t>
        <w:br/>
        <w:t xml:space="preserve">19. According to the notifying party's estimates, the position of the new entity in the IT services market will be limited and, in any case, well below 30%, regardless of the segmentations considered.  </w:t>
        <w:br/>
        <w:t xml:space="preserve">10 See in particular decision no. 14-DCC-62 and the letter from the Minister of Economy C2006-132 mentioned above.  </w:t>
        <w:br/>
        <w:t xml:space="preserve">11 At the European level, the combined market share of the parties was estimated at [0-5]% in 2016.  </w:t>
        <w:br/>
        <w:t xml:space="preserve">12 This concerns the segment of providing IT services to companies active in the healthcare sector.  </w:t>
        <w:br/>
        <w:t xml:space="preserve">13 Regarding functional segmentation, the maximum combined market share at the national level reached [0-5]% in the segment of IT security services at the national level (and will be below [0-5]% at the European level regardless of the segmentations considered). Regarding sectoral segmentation, the maximum combined market share at the national level reached [0-5]% in the segment of public services (and will be below [0-5]% at the European level regardless of the segmentations considered). Finally, regarding the additional segments considered by the Authority according to the type of clientele and types of information and communication systems, the notifying party estimated that the combined market share does not exceed 20%, regardless of the segmentations considered by the Authority.  </w:t>
        <w:br/>
        <w:t xml:space="preserve">20. Specifically regarding the provision of IT services to companies active in the communications sector, the market share of Business &amp; Decision in this segment has been estimated at approximately [0-5]% at the national level14. Indeed, Business &amp; Decision primarily provides its services to companies active in the banking and insurance sector15, so that none of the ten main clients of Business &amp; Decision is active in the communications sector. Furthermore, Business &amp; Decision does not offer essential IT services to companies active in the communications sector and faces competition from numerous operators. Therefore, following the transaction, the competitors of the Orange group will continue to have access to a wide choice of companies to meet their IT service needs.  </w:t>
        <w:br/>
        <w:t xml:space="preserve">21. Finally, the share of purchases made by the Orange group in the IT services market is below 25%, regardless of the segmentations considered by the Authority16. Therefore, following the transaction, the competitors of Business &amp; Decision will continue to have access to a large customer base after the transaction, including in the communications sector.  </w:t>
        <w:br/>
        <w:t xml:space="preserve">22. Consequently, the transaction is not likely to harm competition through vertical effects.  </w:t>
        <w:br/>
        <w:t xml:space="preserve">C. ANALYSIS OF CONGLOMERATE EFFECTS  </w:t>
        <w:br/>
        <w:t xml:space="preserve">23. A concentration is likely to have conglomerate effects when the new entity extends or strengthens its presence in several markets whose connectivity may allow it to exploit a leverage effect. The company thus increases the sales of a product in one market by leveraging its strong position in another market to which the first product is linked or bundled. Similarly to vertical effects, the decision-making practice of competition authorities generally considers that a risk of conglomerate effect can be ruled out as long as the share of the entity resulting from the transaction in the relevant markets does not exceed 30%.  </w:t>
        <w:br/>
        <w:t xml:space="preserve">24. Before the transaction, the Orange group is already active in the electronic communications markets, as well as in all segments of the IT services market in which Business &amp; Decision is active, so that the transaction will not allow the Orange group to enter a segment in which it is not already modestly present. Furthermore, the transaction will not significantly strengthen its position in any of the related markets, given the limited market share increments resulting from the transaction. For the record, according to the notifying party's estimates, the maximum market share of Business &amp; Decision reached, in 2016, [0-5]% in the healthcare sector segment.  </w:t>
        <w:br/>
        <w:t xml:space="preserve">25. Therefore, the transaction is not likely to harm competition through conglomerate effects.  </w:t>
        <w:br/>
        <w:t xml:space="preserve">14 The market share of Business &amp; Decision has been estimated at approximately [0-5]% at the European level.  </w:t>
        <w:br/>
        <w:t xml:space="preserve">15 Companies active in this sector represent approximately [30-40]% of the turnover of Business &amp; Decision achieved in France.  </w:t>
        <w:br/>
        <w:t>16 The Orange group indicated that its expenditure on IT services amounted to […] euros in 2016 in France (out of 28 billion concerning the total market) and to […] euros at the European level (out of 215 billion euros concerning the total market). Without being able to accurately estimate the share represented by its purchases in each segment of the IT services market, the Orange group indicated that this share does not exceed 25% in each of the segments of the IT services market.</w:t>
      </w:r>
    </w:p>
    <w:p>
      <w:r>
        <w:t xml:space="preserve">DECIDES  </w:t>
        <w:br/>
        <w:t xml:space="preserve">Article unique: The transaction notified under number 17-237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