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https://www.autoritedelaconcurrence.fr/fr/decision-de-controle-des-concentrations/relative-la-prise-de-controle-exclusif-de-la-societe-194</w:t>
      </w:r>
    </w:p>
    <w:p>
      <w:r>
        <w:t>Pages translated : 2</w:t>
      </w:r>
    </w:p>
    <w:p/>
    <w:p>
      <w:r>
        <w:rPr>
          <w:b/>
        </w:rPr>
        <w:t>[Pages 1–2]</w:t>
      </w:r>
    </w:p>
    <w:p>
      <w:r>
        <w:t xml:space="preserve">FRENCH REPUBLIC  </w:t>
        <w:br/>
        <w:t xml:space="preserve">Decision No. 17-DCC-33 of March 13, 2017  </w:t>
        <w:br/>
        <w:t xml:space="preserve">regarding the exclusive control acquisition by the Dubreuil group of the  </w:t>
        <w:br/>
        <w:t xml:space="preserve">company Garage Moderne Serreau  </w:t>
        <w:br/>
        <w:t xml:space="preserve">The Competition Authority,  </w:t>
        <w:br/>
        <w:t xml:space="preserve">Having regard to the complete notification file sent to the mergers department on February 15, 2017  </w:t>
        <w:br/>
        <w:t xml:space="preserve">concerning the exclusive control acquisition of the company Garage Moderne Serreau by the Dubreuil group;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Dubreuil group of the company  </w:t>
        <w:br/>
        <w:t xml:space="preserve">Garage Moderne Serreau, which operates two businesses in the distribution of new and used vehicles and engages in automobile repair and maintenance activities in the department of Dordogne (24).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17-025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