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https://www.autoritedelaconcurrence.fr/fr/decision-de-controle-des-concentrations/relative-la-prise-de-controle-exclusif-de-la-societe-196</w:t>
      </w:r>
    </w:p>
    <w:p>
      <w:r>
        <w:t>Pages translated : 2</w:t>
      </w:r>
    </w:p>
    <w:p/>
    <w:p>
      <w:r>
        <w:rPr>
          <w:b/>
        </w:rPr>
        <w:t>[Pages 1–2]</w:t>
      </w:r>
    </w:p>
    <w:p>
      <w:r>
        <w:t xml:space="preserve">FRENCH REPUBLIC  </w:t>
        <w:br/>
        <w:t xml:space="preserve">Decision No. 17-DCC-47 of April 25, 2017  </w:t>
        <w:br/>
        <w:t xml:space="preserve">regarding the exclusive control acquisition of the company Châtillon Distribution by Société d’Exploitation Provencia  </w:t>
        <w:br/>
        <w:t xml:space="preserve">The Competition Authority,  </w:t>
        <w:br/>
        <w:t xml:space="preserve">Having regard to the notification file sent to the mergers department on February 6, 2017, and declared complete on April 10, 2017, concerning the exclusive control acquisition of the company Châtillon Distribution by Société d’Exploitation Provencia, formalized by a transfer deed dated December 21, 2016;  </w:t>
        <w:br/>
        <w:t xml:space="preserve">Having regard to Book IV of the Commercial Code relating to the freedom of prices and competition, and in particular its Articles L. 430-1 to L. 430-7;  </w:t>
        <w:br/>
        <w:t xml:space="preserve">Having regard to the elements transmitted by the notifying party during the investigation;  </w:t>
        <w:br/>
        <w:t xml:space="preserve">Adopts the following decision:  </w:t>
        <w:br/>
        <w:t xml:space="preserve">1. The notified operation consists of the exclusive control acquisition by Société d’Exploitation Provencia of the company Châtillon Distribution, which operates a predominantly food retail outlet under the Carrefour brand in the city of Bellegarde-sur-Valserine (01). This operation constitutes a concentration operation within the meaning of Article L. 430-1 of the Commercial Code. Given the turnover achieved by the companies concerned, the operation does not fall under the jurisdiction of the European Union. On the other hand, the control thresholds relating to concentration operations mentioned in point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17-017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