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https://www.autoritedelaconcurrence.fr/fr/decision-de-controle-des-concentrations/relative-la-prise-de-controle-exclusif-de-la-societe-197</w:t>
      </w:r>
    </w:p>
    <w:p>
      <w:r>
        <w:t>Pages translated : 7</w:t>
      </w:r>
    </w:p>
    <w:p/>
    <w:p>
      <w:r>
        <w:rPr>
          <w:b/>
        </w:rPr>
        <w:t>[Pages 1–3]</w:t>
      </w:r>
    </w:p>
    <w:p>
      <w:r>
        <w:t xml:space="preserve">FRENCH REPUBLIC  </w:t>
        <w:br/>
        <w:t xml:space="preserve">Decision No. 17-DCC-63 of May 23, 2017  </w:t>
        <w:br/>
        <w:t>regarding the exclusive control of Financière Flo by Groupe Bertrand</w:t>
      </w:r>
    </w:p>
    <w:p>
      <w:r>
        <w:t xml:space="preserve">The Competition Authority,  </w:t>
        <w:br/>
        <w:t xml:space="preserve">Having regard to the notification file submitted in full to the merger service on April 26, 2017, regarding the exclusive control of Financière Flo SAS by Groupe Bertrand, formalized by two conciliation protocols dated April 25, 2017;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Groupe Bertrand, exclusively controlled by Mr. Olivier Bertrand, is primarily active in France in the sectors (i) of commercial catering (Burger King and Quick1, the brasserie Lipp, the brands Au Bureau and Café Leffe…), (ii) of hospitality, and (iii) of real estate.  </w:t>
        <w:br/>
        <w:t xml:space="preserve">2. The company Financière Flo SAS controls the company Groupe Flo SA (hereinafter "the Flo group")2, which is itself controlled by the companies Gib-Inno-BM and Gib Group International. The Flo group was listed on the stock exchange, on the second market of Euronext Paris, in 1998. It is active in the sector of commercial dining served at the table through 300 restaurants (161 owned and 139 franchised), under the brands Hippopotamus, Tablapizza, Taverne de Maître Kanter, Bistro Romain, the brasseries, and the Flo concessions.  </w:t>
        <w:br/>
        <w:t xml:space="preserve">3. The operation, formalized by two conciliation protocols dated April 25, 2017, consists of the acquisition by Groupe Bertrand3 of all the shares of Financière Flo SAS. In this  </w:t>
        <w:br/>
        <w:t xml:space="preserve">1 See the decision of the Competition Authority No. 15-DCC-170 of December 10, 2015, regarding the exclusive control of the company Financière Quick by Burger King France.  </w:t>
        <w:br/>
        <w:t xml:space="preserve">2 It holds 69.84% of the capital and 81.8% of the voting rights.  </w:t>
        <w:br/>
        <w:t>3 [Confidential].</w:t>
      </w:r>
    </w:p>
    <w:p>
      <w:r>
        <w:t xml:space="preserve">that it results in the exclusive control of the Flo group by Groupe Bertrand, the operation constitutes a concentration within the meaning of Article L. 430-1 of the Commercial Code.  </w:t>
        <w:br/>
        <w:t>4. The companies concerned together achieve a total worldwide turnover excluding taxes of more than 150 million euros (Groupe Bertrand: [...] euros for the fiscal year ending December 31, 2015; Flo group: [...] euros for the same fiscal year). Each of these companies has achieved a turnover in France exceeding 50 million euros (Groupe Bertrand: [...] euros for the fiscal year ending December 31, 2015; Flo group: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concentrations.</w:t>
      </w:r>
    </w:p>
    <w:p>
      <w:r>
        <w:t xml:space="preserve">II. Delimitation of the relevant markets  </w:t>
        <w:br/>
        <w:t xml:space="preserve">5. The parties are simultaneously active in the commercial catering sector as well as in the upstream markets for the supply of food products.  </w:t>
        <w:br/>
        <w:t xml:space="preserve">A. THE UPSTREAM MARKET FOR THE SUPPLY OF FOOD PRODUCTS  </w:t>
        <w:br/>
        <w:t xml:space="preserve">1. PRODUCT MARKETS  </w:t>
        <w:br/>
        <w:t xml:space="preserve">6. Decision-making practice delineates as many supply markets for food products as there are groups of products4. Regarding fresh food products, the following are distinguished: dairy products, delicatessen and catering products, seafood, fruits and vegetables, and meat products5. The Competition Authority has also identified a distinct supply market for frozen products and ice creams and has considered, within this, a specific market for the supply of ice creams, frozen creams, and sorbets6.  </w:t>
        <w:br/>
        <w:t xml:space="preserve">7. European decision-making practice7 has also considered a segmentation of upstream supply markets based on distribution channels. The European Commission notes that "there are serious indications to suggest that certain supply markets can also be defined based on distribution channels, such that the supply of the food-dominant retail sector could constitute an autonomous market"8. The Authority has thus distinguished  </w:t>
        <w:br/>
        <w:t xml:space="preserve">4 Commission Decision COMP/M.2115 of September 28, 2000 - Carrefour/GB.  </w:t>
        <w:br/>
        <w:t xml:space="preserve">5 Decisions of the Competition Authority No. 10-DCC-158 of November 22, 2010, regarding the exclusive control of nine companies of the Van de Woestyne group by the Les Maîtres Laitiers du Cotentin group, No. 15-DCC-80 of June 26, 2015, regarding the control by Pomona SA of eight members of the Relais d'Or Miko network and the company Lux Frais, and No. 15-DCC-141 of October 27, 2015, regarding the exclusive control of Davigel by Bain Capital.  </w:t>
        <w:br/>
        <w:t xml:space="preserve">6 Decision of the Competition Authority No. 15-DCC-80 of June 26, 2015, cited above.  </w:t>
        <w:br/>
        <w:t xml:space="preserve">7 European Commission Decision COMP/M.1221 of February 3, 1999 - Rewe / Meinl.  </w:t>
        <w:br/>
        <w:t>8 European Commission Decision COMP/M.1684 of January 25, 2000 - Carrefour/Promodès.</w:t>
      </w:r>
    </w:p>
    <w:p>
      <w:r>
        <w:t xml:space="preserve">of the supply markets for frozen products intended for out-of-home catering ("RHD")9.  </w:t>
        <w:br/>
        <w:t xml:space="preserve">8. The question of the exact delineation of product markets can, however, remain open insofar as the conclusions of the competitive analysis remain unchanged, regardless of the segmentations considered.  </w:t>
        <w:br/>
        <w:t xml:space="preserve">2. GEOGRAPHIC MARKETS  </w:t>
        <w:br/>
        <w:t xml:space="preserve">9. Decision-making practice10 considers that the upstream markets for the supply of food products are of national dimension. It has thus noted that the preferences, tastes, and eating habits of consumers, price differences, variations in market shares held by the main operators according to Member States, and the presence of manufacturer or distributor brands marketed only at the national level do not allow for a European dimension of the market to be retained.  </w:t>
        <w:br/>
        <w:t xml:space="preserve">10. There is no need to call into question this delimitation in the case at hand.  </w:t>
        <w:br/>
        <w:t xml:space="preserve">B. THE DOWNSTREAM MARKETS OF COMMERCIAL CATERING  </w:t>
        <w:br/>
        <w:t xml:space="preserve">1. SERVICE MARKETS  </w:t>
        <w:br/>
        <w:t xml:space="preserve">11. Within commercial catering, decision-making practice distinguishes between (i) the market for low-cost fast food (which includes "fast-foods," "self-services," and take-out/delivery) and (ii) that of more sophisticated dining including, in particular, table service11.  </w:t>
        <w:br/>
        <w:t xml:space="preserve">12. The European Commission12 has considered retaining a market for "on-the-go" dining including fast food establishments (belonging to a chain or independent), pizzerias, cafés, "coffee shops," sandwich shops, and take-out and delivery brands. While leaving the question open, it has also distinguished between chain restaurants and independents. The Commission noted in this regard that large chains offer a guarantee of notoriety, particularly in terms of quality of service and consistency in menus, regardless of location, whereas independents offer a more personalized service and greater flexibility.  </w:t>
        <w:br/>
        <w:t xml:space="preserve">9 Decisions of the Competition Authority No. 13-DCC-90 of July 11, 2013, regarding the exclusive control of Monoprix by Casino Guichard-Perrachon; No. 14-DCC-173 of November 21, 2014, regarding the control of Dia France SAS by Carrefour France SAS; No. 16-DCC-46 of March 17, 2016, regarding the exclusive control of Financière Frères Blanc by BH SAS, and No. 15-DCC-80 cited above.  </w:t>
        <w:br/>
        <w:t xml:space="preserve">10 See in particular the European Commission Decision COMP/M.2115 Carrefour/GB of September 28, 2000, and decisions No. 10-DCC-158 and No. 14-DCC-01 cited above, and No. 12-DCC-11 of February 6, 2012, regarding the acquisition of the company Établissements Jean Didier et Cie by Pro-à-Pro Distribution SA and No. 15-DCC-80 cited above.  </w:t>
        <w:br/>
        <w:t xml:space="preserve">11 See in particular the decisions of the Competition Authority No. 10-DCC-94 of August 16, 2010, regarding the acquisition of joint control of Groupe Dupont by Abenex IV and Mr. Pascal Dupont, No. 11-DCC-137 of September 15, 2011, regarding the exclusive control of Lenôtre SA by Sodexo SA, and No. 15-DCC-47 of May 5, 2015, regarding the exclusive control of GPA Courtepaille by ICG, as well as the decisions of the European Commission COMP/M.4220 – Food Service Project/Tele Pizza of June 6, 2006, and COMP/M.2490 – TPG Advisors/Goldman Sachs/Bain Capital Investors/Burger King of October 11, 2002.  </w:t>
        <w:br/>
        <w:t>12 European Commission Decision COMP/M.6895 3G Special situations fund III/Berkshire Hathaway/H. J. Heinz company.</w:t>
      </w:r>
    </w:p>
    <w:p>
      <w:r>
        <w:rPr>
          <w:b/>
        </w:rPr>
        <w:t>[Pages 4–6]</w:t>
      </w:r>
    </w:p>
    <w:p>
      <w:r>
        <w:t>13. National decision-making practice has furthermore distinguished a market for "large brasseries," defined as historic and typical Parisian establishments of traditional dining, characterized by a location in major tourist areas, high seating capacity, specific decor and menu, as well as extended hours.</w:t>
      </w:r>
    </w:p>
    <w:p>
      <w:r>
        <w:t>14. The question of the exact delineation of service markets can, however, remain open insofar as the conclusions of the competitive analysis remain unchanged, regardless of the segmentations considered.</w:t>
      </w:r>
    </w:p>
    <w:p>
      <w:r>
        <w:t>2. GEOGRAPHIC MARKETS</w:t>
      </w:r>
    </w:p>
    <w:p>
      <w:r>
        <w:t>15. Decision-making practice holds that competition in the commercial dining markets takes place in local catchment areas, corresponding in practice to an agglomeration, within which the consumer compares the various offers available to them. However, decision-making practice also considers that these markets can have a national dimension, at which level the location strategies and advertising policies of major brands are defined.</w:t>
      </w:r>
    </w:p>
    <w:p>
      <w:r>
        <w:t>16. Regarding local analyses, catchment areas are defined by:</w:t>
        <w:br/>
        <w:t>- a walking time of ten minutes for restaurants located within Paris and in the ten most populous cities of France (Bordeaux, Nantes, Rennes, Lille, Strasbourg, Marseille, Toulouse, Nice, Montpellier, and Lyon);</w:t>
        <w:br/>
        <w:t>- a driving time of ten minutes for restaurants located in the rest of France (excluding Corsica);</w:t>
        <w:br/>
        <w:t>- a driving time of thirty minutes for restaurants located in Corsica.</w:t>
      </w:r>
    </w:p>
    <w:p>
      <w:r>
        <w:t>17. Furthermore, the Authority has also recently conducted its analysis in the Paris agglomeration as a whole.</w:t>
      </w:r>
    </w:p>
    <w:p>
      <w:r>
        <w:t>18. Finally, concerning the segment of large Parisian brasseries, the Authority examined the competitive situation by arrondissement.</w:t>
      </w:r>
    </w:p>
    <w:p>
      <w:r>
        <w:t>19. The question of the exact delineation of geographic markets can, however, remain open insofar as the conclusions of the competitive analysis remain unchanged, regardless of the segmentations considered.</w:t>
      </w:r>
    </w:p>
    <w:p>
      <w:r>
        <w:t>13 See decision No. 16-DCC-46 cited above.</w:t>
      </w:r>
    </w:p>
    <w:p>
      <w:r>
        <w:t>14 See in particular decisions No. 10-DCC-94 and No. 11-DCC-137 cited above.</w:t>
      </w:r>
    </w:p>
    <w:p>
      <w:r>
        <w:t>15 Ibid.</w:t>
      </w:r>
    </w:p>
    <w:p>
      <w:r>
        <w:t>16 See decision No. 16-DCC-46 cited above.</w:t>
      </w:r>
    </w:p>
    <w:p>
      <w:r>
        <w:t>17 See decision No. 16-DCC-46 cited above.</w:t>
      </w:r>
    </w:p>
    <w:p>
      <w:r>
        <w:t>C. HIGHWAY RESTAURANT MARKET</w:t>
      </w:r>
    </w:p>
    <w:p>
      <w:r>
        <w:t>1. SERVICE MARKETS</w:t>
      </w:r>
    </w:p>
    <w:p>
      <w:r>
        <w:t>20. Decision-making practice distinguishes highway dining from classic commercial dining due in particular to the specificity and captive nature of the highway clientele. Within this market, decision-making practice distinguishes three service markets: dining stricto sensu (including table service or "self-service"), light dining services (snack bars and pastry shops), and food product sales (through shops, vending machines, picnic operations, and takeout).</w:t>
      </w:r>
    </w:p>
    <w:p>
      <w:r>
        <w:t>21. There is no need to challenge these delineations during the examination of the present operation.</w:t>
      </w:r>
    </w:p>
    <w:p>
      <w:r>
        <w:t>2. GEOGRAPHIC MARKETS</w:t>
      </w:r>
    </w:p>
    <w:p>
      <w:r>
        <w:t>22. Decision-making practice holds a national dimension for the highway restaurant market.</w:t>
      </w:r>
    </w:p>
    <w:p>
      <w:r>
        <w:t>III. Competitive Analysis</w:t>
      </w:r>
    </w:p>
    <w:p>
      <w:r>
        <w:t>A. ON MARKET SHARE ESTIMATES</w:t>
      </w:r>
    </w:p>
    <w:p>
      <w:r>
        <w:t>23. At the national level, market shares have been estimated in value for both upstream and downstream markets.</w:t>
      </w:r>
    </w:p>
    <w:p>
      <w:r>
        <w:t>24. Regarding local downstream markets, the estimation of market shares faces the unavailability of turnover figures achieved by competing establishments of the parties in each area, either because they are independent stores that are not required to file their annual accounts, or because they are non-public data.</w:t>
      </w:r>
    </w:p>
    <w:p>
      <w:r>
        <w:t>25. Given these methodological difficulties, local market shares have therefore been calculated in volume, accounting for the points of sale of the main operators present in each area concerned by an overlap of activity between the parties.</w:t>
      </w:r>
    </w:p>
    <w:p>
      <w:r>
        <w:t>B. UPSTREAM MARKETS FOR FOOD PRODUCT SUPPLY</w:t>
      </w:r>
    </w:p>
    <w:p>
      <w:r>
        <w:t>26. The market shares of the new entity are below [0-5]% in the upstream markets for food product supply, regardless of the segmentation retained.</w:t>
      </w:r>
    </w:p>
    <w:p>
      <w:r>
        <w:t>27. Consequently, the operation is not likely to confer significant purchasing power to the new entity and does not harm competition in the upstream markets for food product supply.</w:t>
      </w:r>
    </w:p>
    <w:p>
      <w:r>
        <w:t>C. DOWNSTREAM MARKETS FOR COMMERCIAL DINING</w:t>
      </w:r>
    </w:p>
    <w:p>
      <w:r>
        <w:t>28. Groupe Bertrand is active in the commercial dining market "excluding fast food" with, in particular, the Lipp brasseries or the establishments Au Bureau and Café Leffe, as well as in the fast food market with the brands Bert's, Burger King, and Quick. The Flo group is active in the commercial dining market "excluding fast food" with the brands Hippopotamus, Bistrot Romain, Taverne Maître Kanter, Tablapizza, and the Flo brasseries.</w:t>
      </w:r>
    </w:p>
    <w:p>
      <w:r>
        <w:t>29. Within commercial dining, the operation therefore results in an overlap of activity between the parties in the segment of more sophisticated dining with table service, but also in the segment of large Parisian brasseries.</w:t>
      </w:r>
    </w:p>
    <w:p>
      <w:r>
        <w:t>1. AT THE NATIONAL LEVEL</w:t>
      </w:r>
    </w:p>
    <w:p>
      <w:r>
        <w:t>30. The market share of the new entity is estimated at approximately [0-5]% in the overall commercial dining market in France and at [0-5]% in the segment of more sophisticated dining with table service.</w:t>
      </w:r>
    </w:p>
    <w:p>
      <w:r>
        <w:t>31. The operation is therefore not likely to harm competition in the commercial dining market at the national level.</w:t>
      </w:r>
    </w:p>
    <w:p>
      <w:r>
        <w:t>2. AT THE LOCAL LEVEL</w:t>
      </w:r>
    </w:p>
    <w:p>
      <w:r>
        <w:t>On the commercial dining markets</w:t>
      </w:r>
    </w:p>
    <w:p>
      <w:r>
        <w:t>32. The activities of the parties overlap in 45 catchment areas (fifteen in Paris and 30 in the provinces).</w:t>
      </w:r>
    </w:p>
    <w:p>
      <w:r>
        <w:t>33. In each of these, the estimated market share of the new entity is consistently below 20% in volume. In these particularly fragmented markets, the parties face competition from numerous competitors offering a wide range of dining options.</w:t>
      </w:r>
    </w:p>
    <w:p>
      <w:r>
        <w:t>On the markets for more sophisticated dining with table service</w:t>
      </w:r>
    </w:p>
    <w:p>
      <w:r>
        <w:t>34. The activities of the parties overlap in 35 catchment areas (eight in Paris and 27 in the provinces).</w:t>
      </w:r>
    </w:p>
    <w:p>
      <w:r>
        <w:t>35. In each of these, the estimated market share of the new entity is consistently below 20% in volume. In these particularly fragmented markets, the parties face competition from numerous chains and independent restaurants, such as, for example, Gérard Joulie, Richard, Costes, and Beaumarly.</w:t>
      </w:r>
    </w:p>
    <w:p>
      <w:r>
        <w:t>On the market for "large Parisian brasseries"</w:t>
      </w:r>
    </w:p>
    <w:p>
      <w:r>
        <w:t>36. In Paris, the market share of the new entity is below [20-30]% in the market for large brasseries.</w:t>
      </w:r>
    </w:p>
    <w:p>
      <w:r>
        <w:rPr>
          <w:b/>
        </w:rPr>
        <w:t>[Pages 7–7]</w:t>
      </w:r>
    </w:p>
    <w:p>
      <w:r>
        <w:t>37. It is in the 8th arrondissement, the only arrondissement where the activities of the parties overlap, that the market share of the new entity is the highest. It indeed reaches [30-40]% with […] establishments owned out of the […] listed.</w:t>
      </w:r>
    </w:p>
    <w:p>
      <w:r>
        <w:t>38. In this arrondissement, and more generally in Paris, the new entity will face strong competition, particularly from establishments of the Joulie or Frères Costes groups. Furthermore, some independent brasseries may exert competitive pressure on the large Parisian brasseries, especially when they are located near the large brasseries.</w:t>
      </w:r>
    </w:p>
    <w:p>
      <w:r>
        <w:t>39. Given the above, the operation is not likely to harm competition through horizontal effects in the commercial dining markets.</w:t>
      </w:r>
    </w:p>
    <w:p>
      <w:r>
        <w:t>D. HIGHWAY RESTAURANT MARKET</w:t>
      </w:r>
    </w:p>
    <w:p>
      <w:r>
        <w:t>40. The market share of the new entity is estimated at [0-5]% at most, regardless of the segment considered.</w:t>
      </w:r>
    </w:p>
    <w:p>
      <w:r>
        <w:t>41. The operation is therefore not likely to harm competition in the highway restaurant market.</w:t>
      </w:r>
    </w:p>
    <w:p>
      <w:r>
        <w:t>DECIDES</w:t>
      </w:r>
    </w:p>
    <w:p>
      <w:r>
        <w:t>Sole Article: The operation notified under number 17-064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