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https://www.autoritedelaconcurrence.fr/fr/decision-de-controle-des-concentrations/relative-la-prise-de-controle-exclusif-de-la-societe-198</w:t>
      </w:r>
    </w:p>
    <w:p>
      <w:r>
        <w:t>Pages translated : 2</w:t>
      </w:r>
    </w:p>
    <w:p/>
    <w:p>
      <w:r>
        <w:rPr>
          <w:b/>
        </w:rPr>
        <w:t>[Pages 1–2]</w:t>
      </w:r>
    </w:p>
    <w:p>
      <w:r>
        <w:t>FRENCH REPUBLIC</w:t>
        <w:br/>
        <w:t>Decision No. 17-DCC-64 of June 1, 2017</w:t>
        <w:br/>
        <w:t>regarding the exclusive control acquisition of the company Chryso Group Holding SAS by Starcin France</w:t>
        <w:br/>
        <w:t>The Competition Authority,</w:t>
        <w:br/>
        <w:t>Having regard to the complete notification file submitted to the mergers department on May 3, 2017, concerning the exclusive control acquisition of the company Chryso Group Holding SAS by the company Starcin France, formalized by a transfer agreement dated April 24, 2017;</w:t>
        <w:br/>
        <w:t>Having regard to Book IV of the Commercial Code relating to the freedom of prices and competition, and in particular its Articles L. 430-1 to L. 430-7;</w:t>
        <w:br/>
        <w:t>Adopts the following decision:</w:t>
        <w:br/>
        <w:t>1. The notified operation consists of the acquisition by the company Starcin France, owned by the investment fund Cinven Capital Management, of exclusive control of the company Chryso Group Holding SAS, which produces and markets concrete admixtures and cement additives. This operation constitutes a concentration operation within the meaning of Article L. 430-1 of the Commercial Code. Given the turnover achieved by the companies involved, the operation does not fall under the jurisdiction of the European Union. On the other hand, the control thresholds relating to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17-059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