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https://www.autoritedelaconcurrence.fr/fr/decision-de-controle-des-concentrations/relative-la-prise-de-controle-exclusif-de-la-societe-199</w:t>
      </w:r>
    </w:p>
    <w:p>
      <w:r>
        <w:t>Pages translated : 5</w:t>
      </w:r>
    </w:p>
    <w:p/>
    <w:p>
      <w:r>
        <w:rPr>
          <w:b/>
        </w:rPr>
        <w:t>[Pages 1–3]</w:t>
      </w:r>
    </w:p>
    <w:p>
      <w:r>
        <w:t xml:space="preserve">FRENCH REPUBLIC  </w:t>
        <w:br/>
        <w:t xml:space="preserve">Decision No. 17-DCC-75 of June 1, 2017  </w:t>
        <w:br/>
        <w:t>regarding the exclusive control of the company Convenant SA and its subsidiaries by the company Dauphine 27</w:t>
      </w:r>
    </w:p>
    <w:p>
      <w:r>
        <w:t xml:space="preserve">The Competition Authority,  </w:t>
        <w:br/>
        <w:t xml:space="preserve">Having regard to the notification file submitted in full to the mergers service on May 18, 2017, regarding the exclusive control of the company Convenant SA and its subsidiaries by the company Dauphine 27, formalized by a letter of intent dated February 27, 2017;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Dauphine 27 is a company primarily active in the sector of distribution and repair of automotive and industrial vehicles through dealerships or automotive repairers of the Mercedes Benz brand, located in the department of Loiret (45), Indre-et-Loire (37), Sarthe (72), Mayenne (53), and Orne (61). Dauphine 27 is controlled by Mr. Patrick Bornhauser.  </w:t>
        <w:br/>
        <w:t xml:space="preserve">2. Convenant SA is a company active, with its subsidiaries (hereinafter collectively referred to as "the target companies"), in the sector of distribution and repair of automotive and industrial vehicles of the Mercedes Benz, Toyota, and Lexus brands, in the departments of Loire-Atlantique (44), Ille-et-Vilaine (35), Morbihan (56), and Gironde (33), as well as in the sector of distribution of public works machinery of the Komatsu brand in the departments of Loire-Atlantique (44), Gironde (33), Ille-et-Vilaine (35), Finistère (29), Calvados (14), and Deux-Sèvres (79). Convenant SA is also active in the handling sector through two subsidiaries that are, however, excluded from the scope of the present operation. Convenant SA is controlled by the companies MCI, SFG, and Cycles Investissement.  </w:t>
        <w:br/>
        <w:t>3. By virtue of a letter of intent dated February 27, 2017, Dauphine 27 is to acquire the entirety of the capital of Convenant SA and its subsidiaries, with the exception of two of them.</w:t>
      </w:r>
    </w:p>
    <w:p>
      <w:r>
        <w:t xml:space="preserve">In that it results in the exclusive control of the target companies by Dauphine 27, the notified operation constitutes a concentration within the meaning of Article L. 430-1 of the Commercial Code.  </w:t>
        <w:br/>
        <w:t>4. The companies concerned together achieve a total worldwide turnover excluding taxes of more than 75 million euros (Dauphine 27: 169.9 million euros for the fiscal year ending December 31, 2016; Convenant SA: 311.5 million euros for the same fiscal year). The companies concerned achieve in France in the retail sector a turnover exceeding 15 million euros (Dauphine 27: 169.9 million euros for the fiscal year ending December 31, 2016; Convenant SA: 311.5 million euros for the same fiscal year). Considering these turnovers,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DELIMITATION OF PRODUCT AND SERVICE MARKETS  </w:t>
        <w:br/>
        <w:t xml:space="preserve">1. THE SERVICE MARKETS  </w:t>
        <w:br/>
        <w:t xml:space="preserve">5. In the automotive distribution sector, decision-making practice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automotive vehicles; (vii) the distribution of rental services.  </w:t>
        <w:br/>
        <w:t xml:space="preserve">6. By analogy with automotive distribution, within the industrial vehicle distribution sector, the market for the distribution of new industrial vehicles and the market for the distribution of used industrial vehicles can be distinguished.  </w:t>
        <w:br/>
        <w:t xml:space="preserve">1 See in particular the decisions of the Competition Authority No. 09-DCC-01 of April 8, 2009, regarding the acquisition of Pellier Metz S.A.S by the Bailly S.A.S group, and No. 10-DCC-23 of March 1, 2010, regarding the exclusive control of Evry Corbeil Automobiles and Vétille Automobiles by Priod Holding (Priod group).  </w:t>
        <w:br/>
        <w:t>2 See in particular the decisions of the Competition Authority No. 16-DCC-223 of December 22, 2016, regarding the exclusive control by Groupe Kertrucks Finance of the company Filoca and the commercial funds for the distribution of heavy trucks and tires of the companies Caroff Pneus, Carhais PL, and GGPL, and No. 10-DCC-151 of October 29, 2010, regarding the exclusive control of the company Austrasie by the Lenormant group.</w:t>
      </w:r>
    </w:p>
    <w:p>
      <w:r>
        <w:t xml:space="preserve">7. Furthermore, within the category of industrial vehicles, the European Commission has made a distinction between heavy trucks, on the one hand, and buses and coaches, on the other hand. Regarding trucks, European decision-making practice has also segmented the market based on the vehicle's weight into light commercial vehicles (&lt; 5 tonnes), medium commercial vehicles (5-16 tonnes), and heavy trucks (&gt; 16 tonnes).  </w:t>
        <w:br/>
        <w:t xml:space="preserve">8. There is no need to challenge these delineations during the examination of the present operation.  </w:t>
        <w:br/>
        <w:t>9. In this case, the companies concerned are simultaneously present in all of these markets, except for the distribution of rental services.</w:t>
      </w:r>
    </w:p>
    <w:p>
      <w:r>
        <w:t xml:space="preserve">2. THE GEOGRAPHIC MARKETS  </w:t>
        <w:br/>
        <w:t xml:space="preserve">10. Concerning the retail sale of motor vehicles, new or used, of spare parts and automotive accessories, maintenance and repair services for motor vehicles, and rental services, decision-making practice adopts a local definition, with the analysis generally conducted at the departmental level.  </w:t>
        <w:br/>
        <w:t xml:space="preserve">11. Furthermore, in operations where the acquirer is active in the neighboring departments of those in which the target is present, the Authority also conducts a competitive analysis on a market extended to all of these departments.  </w:t>
        <w:br/>
        <w:t xml:space="preserve">12. Decision-making practice retains the same local geographical dimension regarding the retail sale of industrial vehicles.  </w:t>
        <w:br/>
        <w:t>13. In this case, the activities of the parties do not overlap in any department. However, the analysis will focus on a geographical area encompassing the departments of Mayenne (53), Ille-et-Vilaine (35), and Loire-Atlantique (44), neighboring departments in which the parties are individually present.</w:t>
      </w:r>
    </w:p>
    <w:p>
      <w:r>
        <w:t xml:space="preserve">III. Competitive analysis  </w:t>
        <w:br/>
        <w:t>The parties are simultaneously active in the markets for the distribution of automotive vehicles (A), the distribution of industrial vehicles (B), the distribution of spare parts and accessories for automotive vehicles, and the distribution of maintenance and repair services for automotive vehicles.</w:t>
      </w:r>
    </w:p>
    <w:p>
      <w:r>
        <w:rPr>
          <w:b/>
        </w:rPr>
        <w:t>[Pages 4–5]</w:t>
      </w:r>
    </w:p>
    <w:p>
      <w:r>
        <w:t>spare parts and accessories for automotive and industrial vehicles, and the distribution of maintenance and repair services for automotive and industrial vehicles (C).</w:t>
      </w:r>
    </w:p>
    <w:p>
      <w:r>
        <w:t>A. AUTOMOTIVE VEHICLE DISTRIBUTION MARKETS</w:t>
      </w:r>
    </w:p>
    <w:p>
      <w:r>
        <w:t>14. Regarding the calculation of market shares, decision-making practice6 uses as an indicator the ratio between the sales of new vehicles made by the parties in the departments concerned by the operation and the total registrations of new vehicles recorded in these same departments by the prefectures.</w:t>
      </w:r>
    </w:p>
    <w:p>
      <w:r>
        <w:t>15. In the geographical area comprising the departments of Mayenne (53), Ille-et-Vilaine (35), and Loire-Atlantique (44) where the parties operate dealerships, for each of the markets concerned by the operation, the parties hold the following cumulative market shares:</w:t>
      </w:r>
    </w:p>
    <w:p>
      <w:r>
        <w:t>Area formed by the departments of Mayenne (53), Ille-et-Vilaine (35), and Loire-Atlantique (44) Cumulative market shares</w:t>
        <w:br/>
        <w:t>Distribution of new passenger vehicles intended for a 3.7%</w:t>
        <w:br/>
        <w:t>private customer base</w:t>
        <w:br/>
        <w:t>Distribution of new passenger vehicles intended for a &lt; 5%</w:t>
        <w:br/>
        <w:t>professional customer base</w:t>
        <w:br/>
        <w:t>Distribution of new commercial vehicles 3.9%</w:t>
        <w:br/>
        <w:t>Distribution of used passenger vehicles &lt; 5%</w:t>
      </w:r>
    </w:p>
    <w:p>
      <w:r>
        <w:t>16. The market shares of the entity resulting from the concentration will therefore remain limited in a market covering the departments of Mayenne (53), Ille-et-Vilaine (35), and Loire-Atlantique (44).</w:t>
      </w:r>
    </w:p>
    <w:p>
      <w:r>
        <w:t>B. MARKET FOR INDUSTRIAL VEHICLE DISTRIBUTION</w:t>
      </w:r>
    </w:p>
    <w:p>
      <w:r>
        <w:t>17. In the market for the retail sale of industrial vehicles, the estimated market shares are below 15% in the geographical area covering the departments of Mayenne (53), Ille-et-Vilaine (35), and Loire-Atlantique (44). Furthermore, in this area, the new entity will face competition from several authorized Mercedes-Benz dealers and other brands.</w:t>
      </w:r>
    </w:p>
    <w:p>
      <w:r>
        <w:t>C. MARKETS FOR SPARE PARTS AND MAINTENANCE AND REPAIR SERVICES</w:t>
      </w:r>
    </w:p>
    <w:p>
      <w:r>
        <w:t>18. In the market for the retail sale of spare parts and accessories and in the market for maintenance and repair services, the notifying party has not been able to distinguish the distribution and repair activities according to automotive or industrial vehicles.</w:t>
      </w:r>
    </w:p>
    <w:p>
      <w:r>
        <w:t>19. However, it estimates that its market shares are below 5%, regardless of the market retained in the geographical area covering the departments of Mayenne (53), Ille-et-Vilaine (35), and Loire-Atlantique (44).</w:t>
      </w:r>
    </w:p>
    <w:p>
      <w:r>
        <w:t>20. Furthermore, in this area, Dauphine 27 will face competition from other authorized Mercedes-Benz and Toyota dealers and, more generally, from numerous independent garages and repairers, as well as specialized brands such as Speedy, Midas, and Norauto, which may offer consumers identical or equivalent quality spare parts and accessories, and maintenance and repair services for vehicles similar to those distributed by the various entities.</w:t>
      </w:r>
    </w:p>
    <w:p>
      <w:r>
        <w:t>21. Given the above elements, the operation is not likely to harm competition.</w:t>
      </w:r>
    </w:p>
    <w:p>
      <w:r>
        <w:t>DECIDES</w:t>
      </w:r>
    </w:p>
    <w:p>
      <w:r>
        <w:t>Sole Article: The operation notified under number 17-080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