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https://www.autoritedelaconcurrence.fr/fr/decision-de-controle-des-concentrations/relative-la-prise-de-controle-exclusif-de-la-societe-201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17-DCC-80 of June 7, 2017  </w:t>
        <w:br/>
        <w:t xml:space="preserve">regarding the exclusive control acquisition of the company  </w:t>
        <w:br/>
        <w:t xml:space="preserve">Colisée International by the company Indigo International  </w:t>
        <w:br/>
        <w:t xml:space="preserve">The Competition Authority,  </w:t>
        <w:br/>
        <w:t xml:space="preserve">Having regard to the complete notification file submitted to the mergers department on May 11, 2017,  </w:t>
        <w:br/>
        <w:t xml:space="preserve">concerning the exclusive control acquisition of the company Colisée International by the company  </w:t>
        <w:br/>
        <w:t xml:space="preserve">Indigo International, formalized by a memorandum of understanding dated April 27,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Indigo International  </w:t>
        <w:br/>
        <w:t xml:space="preserve">of the company Colisée International, which is active in the sector of operating  </w:t>
        <w:br/>
        <w:t xml:space="preserve">establishments for dependent elderly persons, rehabilitation and recovery centers, real estate development, and personal services.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control thresholds mentioned in point I  </w:t>
        <w:br/>
        <w:t xml:space="preserve">of 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17-093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