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https://www.autoritedelaconcurrence.fr/fr/decision-de-controle-des-concentrations/relative-la-prise-de-controle-exclusif-de-la-societe-203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18-DCC-02 of January 5, 2018  </w:t>
        <w:br/>
        <w:t xml:space="preserve">regarding the exclusive control acquisition of the company Dufadis by the  </w:t>
        <w:br/>
        <w:t xml:space="preserve">company TMBC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19, 2017, concerning the exclusive control acquisition of the company Dufadis by the company  </w:t>
        <w:br/>
        <w:t xml:space="preserve">TMBC, materialized by a memorandum of understanding dated November 17,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TMBC of exclusive control of the  </w:t>
        <w:br/>
        <w:t xml:space="preserve">company Dufadis, which operates a predominantly food retail outlet, with an area of  </w:t>
        <w:br/>
        <w:t xml:space="preserve">2,300 m², under the brand Super U, located in the town of Saint-Aignan-sur-Cher (41). This  </w:t>
        <w:br/>
        <w:t xml:space="preserve">operation constitutes a concentration operation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related to retail trade mentioned in point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17-284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