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https://www.autoritedelaconcurrence.fr/fr/decision-de-controle-des-concentrations/relative-la-prise-de-controle-exclusif-de-la-societe-204</w:t>
      </w:r>
    </w:p>
    <w:p>
      <w:r>
        <w:t>Pages translated : 2</w:t>
      </w:r>
    </w:p>
    <w:p/>
    <w:p>
      <w:r>
        <w:rPr>
          <w:b/>
        </w:rPr>
        <w:t>[Pages 1–2]</w:t>
      </w:r>
    </w:p>
    <w:p>
      <w:r>
        <w:t xml:space="preserve">FRENCH REPUBLIC  </w:t>
        <w:br/>
        <w:t xml:space="preserve">Decision No. 18-DCC-03 of January 5, 2018  </w:t>
        <w:br/>
        <w:t xml:space="preserve">regarding the acquisition of exclusive control of the company Financière Climater  </w:t>
        <w:br/>
        <w:t xml:space="preserve">by the company Sagard  </w:t>
        <w:br/>
        <w:t xml:space="preserve">The Competition Authority,  </w:t>
        <w:br/>
        <w:t xml:space="preserve">Having regard to the complete notification file submitted to the mergers department on  </w:t>
        <w:br/>
        <w:t xml:space="preserve">December 14, 2017, concerning the acquisition of exclusive control of the company Financière  </w:t>
        <w:br/>
        <w:t xml:space="preserve">Climater SAS and its subsidiaries by the company Sagard SAS, formalized by an agreement dated  </w:t>
        <w:br/>
        <w:t xml:space="preserve">November 29, 2017, to which a draft transfer contract is annexed;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of exclusive control by the company Sagard SAS, via the  </w:t>
        <w:br/>
        <w:t xml:space="preserve">professional private equity fund Sagard 3 FPCI, of the company Financière Climater SAS and its subsidiaries, which are primarily active in the field of climate engineering. It constitutes a concentration operation within the meaning of Article L. 430-1 of the Commercial Code. Given the revenues generated by the companies concerned, the operation does not fall under the jurisdiction of the European Union. However, the control thresholds relating to concentration operations mentioned in point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17-282 is authorized.  </w:t>
        <w:br/>
        <w:t xml:space="preserve">The Vice-President,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