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https://www.autoritedelaconcurrence.fr/fr/decision-de-controle-des-concentrations/relative-la-prise-de-controle-exclusif-de-la-societe-205</w:t>
      </w:r>
    </w:p>
    <w:p>
      <w:r>
        <w:t>Pages translated : 2</w:t>
      </w:r>
    </w:p>
    <w:p/>
    <w:p>
      <w:r>
        <w:rPr>
          <w:b/>
        </w:rPr>
        <w:t>[Pages 1–2]</w:t>
      </w:r>
    </w:p>
    <w:p>
      <w:r>
        <w:t xml:space="preserve">FRENCH REPUBLIC  </w:t>
        <w:br/>
        <w:t xml:space="preserve">Decision No. 18-DCC-102 of June 20, 2018  </w:t>
        <w:br/>
        <w:t xml:space="preserve">regarding the exclusive control acquisition of the company Maincare Solutions Holdings SAS by the company Esculape Capital SAS  </w:t>
        <w:br/>
        <w:t xml:space="preserve">The Competition Authority,  </w:t>
        <w:br/>
        <w:t xml:space="preserve">Having regard to the complete notification file submitted to the mergers department on June 4, 2018, concerning the exclusive control acquisition of the company Maincare Solutions Holdings SAS by the company Esculape Capital SAS, and formalized by a purchase agreement dated April 23, 2018;  </w:t>
        <w:br/>
        <w:t xml:space="preserve">Having regard to Book IV of the Commercial Code relating to the freedom of prices and competition, and in particular its Articles L. 430-1 to L. 430-7;  </w:t>
        <w:br/>
        <w:t xml:space="preserve">Adopts the following decision:  </w:t>
        <w:br/>
        <w:t xml:space="preserve">1. The notified transaction consists of the exclusive control acquisition of the company Maincare Solutions Holdings SAS by the company Esculape Capital SAS, which is active in the sector of IT services specific to the healthcare sector. It constitutes a concentration operation within the meaning of Article L. 430-1 of the Commercial Code. Given the turnover achieved by the concerned companies, the operation does not fall under the jurisdiction of the European Union. However, the control thresholds mentioned in point 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notified operation under number 18-106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