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https://www.autoritedelaconcurrence.fr/fr/decision-de-controle-des-concentrations/relative-la-prise-de-controle-exclusif-de-la-societe-206</w:t>
      </w:r>
    </w:p>
    <w:p>
      <w:r>
        <w:t>Pages translated : 2</w:t>
      </w:r>
    </w:p>
    <w:p/>
    <w:p>
      <w:r>
        <w:rPr>
          <w:b/>
        </w:rPr>
        <w:t>[Pages 1–2]</w:t>
      </w:r>
    </w:p>
    <w:p>
      <w:r>
        <w:t xml:space="preserve">FRENCH REPUBLIC  </w:t>
        <w:br/>
        <w:t xml:space="preserve">Decision No. 18-DCC-112 of July 12, 2018  </w:t>
        <w:br/>
        <w:t xml:space="preserve">regarding the exclusive control acquisition of the company Histoire &amp; Patrimoine by the company Altarea Cogedim  </w:t>
        <w:br/>
        <w:t xml:space="preserve">The Competition Authority,  </w:t>
        <w:br/>
        <w:t xml:space="preserve">Having regard to the complete notification file submitted to the mergers department on June 11, 2018, concerning the exclusive control acquisition of the company Histoire &amp; Patrimoine by the company Altarea Cogedim, formalized by a share transfer agreement signed on June 1,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Altarea Cogedim of the company Histoire &amp; Patrimoine, currently jointly controlled by the companies Altarea Cogedim and Majhip.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real estate services markets,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18-114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