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https://www.autoritedelaconcurrence.fr/fr/decision-de-controle-des-concentrations/relative-la-prise-de-controle-exclusif-de-la-societe-207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18-DCC-121 of July 19, 2018  </w:t>
        <w:br/>
        <w:t xml:space="preserve">regarding the exclusive control acquisition of the company Garantie Evolution 2 and its subsidiaries by the company Ardian  </w:t>
        <w:br/>
        <w:t xml:space="preserve">The Competition Authority,  </w:t>
        <w:br/>
        <w:t xml:space="preserve">Having regard to the complete notification file submitted to the mergers department on June 22, 2018, concerning the exclusive control acquisition of the company Garantie Évolution 2 and its subsidiaries by the company Ardian, and formalized by a share transfer agreement dated April 23, 2018;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Opteven group, constituted by the company Garantie Évolution 2 and its subsidiaries, active in the sectors of insurance and automotive warranty, by the investment fund Ardian.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point 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18-104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