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https://www.autoritedelaconcurrence.fr/fr/decision-de-controle-des-concentrations/relative-la-prise-de-controle-exclusif-de-la-societe-209</w:t>
      </w:r>
    </w:p>
    <w:p>
      <w:r>
        <w:t>Pages translated : 2</w:t>
      </w:r>
    </w:p>
    <w:p/>
    <w:p>
      <w:r>
        <w:rPr>
          <w:b/>
        </w:rPr>
        <w:t>[Pages 1–2]</w:t>
      </w:r>
    </w:p>
    <w:p>
      <w:r>
        <w:t xml:space="preserve">FRENCH REPUBLIC  </w:t>
        <w:br/>
        <w:t xml:space="preserve">Decision No. 18-DCC-13 of January 12, 2018  </w:t>
        <w:br/>
        <w:t xml:space="preserve">regarding the acquisition of exclusive control of the company Kiloutou by the  </w:t>
        <w:br/>
        <w:t xml:space="preserve">company HLDI  </w:t>
        <w:br/>
        <w:t xml:space="preserve">The Competition Authority,  </w:t>
        <w:br/>
        <w:t xml:space="preserve">Having regard to the complete notification file submitted to the mergers department on  </w:t>
        <w:br/>
        <w:t xml:space="preserve">December 22, 2017, concerning the acquisition of exclusive control of the company Kiloutou by the  </w:t>
        <w:br/>
        <w:t xml:space="preserve">company HLDI, materialized by a purchase promise dated November 17, 2017;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acquisition of exclusive control by the company HLDI of the company  </w:t>
        <w:br/>
        <w:t xml:space="preserve">Kiloutou, which is active in the equipment rental sector primarily in the fields of construction and public works. It constitutes a concentration operation within the meaning of Article L. 430-1 of the Commercial Code. Given the turnover achieved by the companies concerned, the operation does not fall under the jurisdiction of the European Union. However, the control thresholds relating to concentration operations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17-271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