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https://www.autoritedelaconcurrence.fr/fr/decision-de-controle-des-concentrations/relative-la-prise-de-controle-exclusif-de-la-societe-21</w:t>
      </w:r>
    </w:p>
    <w:p>
      <w:r>
        <w:t>Pages translated : 5</w:t>
      </w:r>
    </w:p>
    <w:p/>
    <w:p>
      <w:r>
        <w:rPr>
          <w:b/>
        </w:rPr>
        <w:t>[Pages 1–3]</w:t>
      </w:r>
    </w:p>
    <w:p>
      <w:r>
        <w:t>FRENCH REPUBLIC</w:t>
        <w:br/>
        <w:t>Decision No. 10-DCC-71 of July 9, 2010</w:t>
        <w:br/>
        <w:t>regarding the exclusive control of the company Letag</w:t>
        <w:br/>
        <w:t>by the company ITM Alimentaire Est</w:t>
        <w:br/>
        <w:t>The Competition Authority,</w:t>
        <w:br/>
        <w:t>Having regard to the notification file submitted in full to the merger service on June 4, 2010,</w:t>
        <w:br/>
        <w:t>regarding the exclusive control of the company Letag by the company ITM Alimentaire Est,</w:t>
        <w:br/>
        <w:t>formalized by a transfer protocol dated May 18, 2010;</w:t>
        <w:br/>
        <w:t>Having regard to Book IV of the Commercial Code relating to the freedom of prices and competition, and</w:t>
        <w:br/>
        <w:t>notably its Articles L. 430-1 to L. 430-7;</w:t>
        <w:br/>
        <w:t>Adopts the following decision:</w:t>
        <w:br/>
        <w:t>I. The companies concerned and the operation</w:t>
        <w:br/>
        <w:t>1. The company ITM Entreprises, 100% controlled by the Société civile des Mousquetaires,</w:t>
        <w:br/>
        <w:t>itself held by 1,330 individuals known as "associated members," leads and animates the network of independent merchants known as the "Groupement des Mousquetaires." As a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The ITM Entreprises group achieved a total turnover excluding taxes of [20-30] billion euros in the last fiscal year ending December 31, 2009, of which [15-25] billion euros was in France. The company ITM Alimentaire Est is a French law company held at [&gt;50%] by the company ITM Alimentaire France, which is itself held at [&gt;50%] by the company ITM Entreprises.</w:t>
      </w:r>
    </w:p>
    <w:p>
      <w:r>
        <w:t>2. The company Letag is a simplified joint-stock company that operates a retail outlet with a food focus under the Intermarché brand located in Commercy (52). The capital of the company Letag is composed of 5,020 shares. Mr. and Mrs. X and their relatives together hold [&gt;50%] of the shares. The company ITM Entreprises holds [&lt;35%] of the shares, without this participation conferring any special rights, as strategic decisions must be made by a two-thirds majority vote. Mr. and Mrs. X signed a membership contract with ITM Entreprises on January 15, 1991. Additionally, the company Letag signed a brand contract with ITM Entreprises on March 20, 2001, through which the use of the Intermarché brand is granted to it for the operation of its business. In 2009, the total turnover excluding taxes of the company Letag, the last closed fiscal year, amounted to [&gt;15 million euros], exclusively generated in France.</w:t>
      </w:r>
    </w:p>
    <w:p>
      <w:r>
        <w:t>3. ITM Alimentaire Est has committed, by a conditional transfer agreement dated May 18, 2010, to acquire all the shares of the company Letag.</w:t>
      </w:r>
    </w:p>
    <w:p>
      <w:r>
        <w:t>4. As it results in the exclusive control of the company Letag by the ITM Entreprises group, the notified operation constitutes a concentration within the meaning of Article L. 430-1 of the Commercial Code. Given the turnover of the companies concerned, it does not have a community dimension. However, the control thresholds mentioned in point II of Article L. 430-2 of the Commercial Code are exceeded. The present operation is therefore subject to the provisions of Articles L. 430-3 and following of the Commercial Code relating to economic concentration.</w:t>
      </w:r>
    </w:p>
    <w:p>
      <w:r>
        <w:t>II. Delimitation of relevant markets</w:t>
        <w:br/>
        <w:t>5. According to the consistent practice of national and community competition authorities, two categories of markets can be delineated in the food retail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w:t>
      </w:r>
    </w:p>
    <w:p>
      <w:r>
        <w:t>A. DOWNSTREAM DISTRIBUTION MARKET</w:t>
        <w:br/>
        <w:t>1. SERVICE MARKETS</w:t>
        <w:br/>
        <w:t>6.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 order sales.</w:t>
      </w:r>
    </w:p>
    <w:p>
      <w:r>
        <w:t>7. Hypermarkets are usually defined as predominantly food stores with a sales area exceeding 2,500 m2. However, it should be noted that these thresholds must be used with caution and may be adapted to the specific case, considering that stores whose area is close to a threshold, whether below or above, may be in direct competition in practice.</w:t>
      </w:r>
    </w:p>
    <w:p>
      <w:r>
        <w:t>2. GEOGRAPHICAL DELIMITATION</w:t>
        <w:br/>
        <w:t>8. In its recent decisions regarding operations involving hypermarkets or supermarkets, the Competition Authority has recalled that depending on the size of the stores concerned, the conditions of competition should be assessed in two different areas:</w:t>
        <w:br/>
        <w:t>• a first area where the demand from consumers in one area meets the supply of hypermarkets to which they have access within less than 30 minutes of driving and which are, from their perspective, substitutable with each other;</w:t>
        <w:br/>
        <w:t>• a second area where the demand from consumers meets the supply of supermarkets and other equivalent forms of commerce, located within less than 15 minutes of driving time. These latter forms of commerce may include, in addition to supermarkets, hypermarkets and discount stores.</w:t>
      </w:r>
    </w:p>
    <w:p>
      <w:r>
        <w:t>9. Other criteria may nevertheless be taken into account to assess the impact of a concentration on the competitive situation in retail distribution markets, which may lead to refining, in the specific case, the usual delimitations presented above.</w:t>
      </w:r>
    </w:p>
    <w:p>
      <w:r>
        <w:t>10. In this specific case, the competitive analysis will focus on the two markets, one including all hypermarkets, supermarkets, and discount stores located within a 15-minute trade area around Commercy and the other including hypermarkets located within a 30-minute radius including the store concerned by the present operation.</w:t>
      </w:r>
    </w:p>
    <w:p>
      <w:r>
        <w:rPr>
          <w:b/>
        </w:rPr>
        <w:t>[Pages 4–5]</w:t>
      </w:r>
    </w:p>
    <w:p>
      <w:r>
        <w:t xml:space="preserve">B. UPSTREAM SUPPLY MARKET  </w:t>
        <w:br/>
        <w:t xml:space="preserve">11. Regarding the supply markets, the European Commission6 has identified the existence of national markets by major product groups, a delineation followed by national authorities7.  </w:t>
        <w:br/>
        <w:t xml:space="preserve">12. There is no reason to challenge this delineation on the occasion of the present operation.  </w:t>
        <w:br/>
        <w:t xml:space="preserve">III. Competitive Analysis  </w:t>
        <w:br/>
        <w:t xml:space="preserve">A. DOWNSTREAM DISTRIBUTION MARKET  </w:t>
        <w:br/>
        <w:t xml:space="preserve">13. The store concerned by the operation, located in Commercy (52), currently occupies a sales area of 2,491 m2. Given the proximity of this area to the hypermarket threshold, the competitive analysis will be conducted on the two markets mentioned above.  </w:t>
        <w:br/>
        <w:t xml:space="preserve">14. On the first downstream market including hypermarkets located within a 30-minute drive trade area around Commercy, the Intermarché operated by the target currently represents 12.5% of a total area of 20,712 m2. Another hypermarket under the Intermarché brand is also present in this area. It is located in Ecrouves and represents 12% market share for a sales area of 2,600 m2. Hypermarkets operated under a brand of the ITM Entreprises group therefore represent, in the trade area, a cumulative market share of 24.5% of sales areas.  </w:t>
        <w:br/>
        <w:t xml:space="preserve">15. These stores currently face competition from a hypermarket under the Cora brand occupying a sales area of 7,410 m2 (representing 35% market share), a hypermarket under the Leclerc brand occupying a sales area of 5,700 m2 (representing 35% market share), and a hypermarket under the Carrefour brand occupying a sales area of 2,511 m2 (representing 12% market share).  </w:t>
        <w:br/>
        <w:t xml:space="preserve">16. Ultimately, the planned extension of a Match store located in Commercy should add a hypermarket of 3,020 m2 to this market, bringing the market share of Intermarché stores down to 21.5%.  </w:t>
        <w:br/>
        <w:t xml:space="preserve">17. On the market including supermarkets and other equivalent forms of commerce, located within a 15-minute drive trade area around Commercy, the Intermarché operated by the target represents 32% of the market share expressed in sales area (i.e., 2,491 m² out of a total area of 7,820 m²). Also present in this area is a supermarket under the Netto brand occupying 800 m² (representing 10% of sales areas). Stores operated under a brand of the ITM Entreprises group therefore represent, in the aforementioned trade area, a cumulative market share of 42% of sales areas.  </w:t>
        <w:br/>
        <w:t xml:space="preserve">6 See the Commission decisions M.1684 Carrefour/Promodès of January 25, 2000 and M. 2115 Carrefour/GB of September 28, 2000.  </w:t>
        <w:br/>
        <w:t xml:space="preserve">7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  </w:t>
        <w:br/>
        <w:t xml:space="preserve">4  </w:t>
        <w:br/>
        <w:t xml:space="preserve">18. These stores face competition from two supermarkets under the Supermarché Match brand occupying 1,862 m² and 1,200 m² respectively (representing 24% and 15% of sales areas, for a total of 39% market share), from a discount store under the Aldi brand occupying 767 m² (representing 10% of sales areas), and from a discount store under the Lidl brand occupying 700 m² (representing 9% of sales areas).  </w:t>
        <w:br/>
        <w:t xml:space="preserve">19. Ultimately, the extension of the Match located in Commercy should bring the market share of Intermarché stores in this market down to 36.7%.  </w:t>
        <w:br/>
        <w:t xml:space="preserve">20. Given the above, the present operation is not likely to harm competition in the markets considered.  </w:t>
        <w:br/>
        <w:t xml:space="preserve">B. UPSTREAM SUPPLY MARKET  </w:t>
        <w:br/>
        <w:t xml:space="preserve">21. Regarding the upstream supply markets, the operation, limited to a single store, is not likely to significantly strengthen the purchasing power of the ITM Entreprises group, across all products as well as by major product groups.  </w:t>
        <w:br/>
        <w:t xml:space="preserve">22. Therefore, the operation is not likely to harm competition in the upstream supply market.  </w:t>
        <w:br/>
        <w:t xml:space="preserve">DECIDES  </w:t>
        <w:br/>
        <w:t xml:space="preserve">Sole Article: The operation notified under number 10-0083 is authorized.  </w:t>
        <w:br/>
        <w:t xml:space="preserve">The President,  </w:t>
        <w:br/>
        <w:t xml:space="preserve">Bruno Lasserre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