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https://www.autoritedelaconcurrence.fr/fr/decision-de-controle-des-concentrations/relative-la-prise-de-controle-exclusif-de-la-societe-210</w:t>
      </w:r>
    </w:p>
    <w:p>
      <w:r>
        <w:t>Pages translated : 2</w:t>
      </w:r>
    </w:p>
    <w:p/>
    <w:p>
      <w:r>
        <w:rPr>
          <w:b/>
        </w:rPr>
        <w:t>[Pages 1–2]</w:t>
      </w:r>
    </w:p>
    <w:p>
      <w:r>
        <w:t xml:space="preserve">FRENCH REPUBLIC  </w:t>
        <w:br/>
        <w:t xml:space="preserve">Decision No. 18-DCC-132 of August 1, 2018  </w:t>
        <w:br/>
        <w:t xml:space="preserve">regarding the exclusive control acquisition of Berbiguier Automobiles SAS by Générale Groupe Sud SA  </w:t>
        <w:br/>
        <w:t xml:space="preserve">The Competition Authority,  </w:t>
        <w:br/>
        <w:t xml:space="preserve">Having regard to the complete notification file submitted to the mergers department on July 3, 2018,  </w:t>
        <w:br/>
        <w:t xml:space="preserve">concerning the exclusive control acquisition of Berbiguier Automobiles SAS by Générale Groupe Sud SA, and formalized by a share transfer agreement dated June 26,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Générale Groupe Sud SA of Berbiguier Automobiles SAS, which operates two Peugeot brand car dealerships in the Vaucluse department (84).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18-098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