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https://www.autoritedelaconcurrence.fr/fr/decision-de-controle-des-concentrations/relative-la-prise-de-controle-exclusif-de-la-societe-211</w:t>
      </w:r>
    </w:p>
    <w:p>
      <w:r>
        <w:t>Pages translated : 2</w:t>
      </w:r>
    </w:p>
    <w:p/>
    <w:p>
      <w:r>
        <w:rPr>
          <w:b/>
        </w:rPr>
        <w:t>[Pages 1–2]</w:t>
      </w:r>
    </w:p>
    <w:p>
      <w:r>
        <w:t xml:space="preserve">FRENCH REPUBLIC  </w:t>
        <w:br/>
        <w:t xml:space="preserve">Decision No. 18-DCC-135 of August 9, 2018  </w:t>
        <w:br/>
        <w:t xml:space="preserve">regarding the exclusive control acquisition of the company Menaphi by the  </w:t>
        <w:br/>
        <w:t xml:space="preserve">company ITM Alimentaire Région Parisienne  </w:t>
        <w:br/>
        <w:t xml:space="preserve">The Competition Authority,  </w:t>
        <w:br/>
        <w:t xml:space="preserve">Having regard to the complete notification file submitted to the mergers department on July 9, 2018,  </w:t>
        <w:br/>
        <w:t xml:space="preserve">concerning the exclusive control acquisition of the company Menaphi by the company ITM Alimentaire  </w:t>
        <w:br/>
        <w:t xml:space="preserve">Région Parisienne, and materialized by the exercise of a purchase option dated April 6, 2018;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exclusive control acquisition by the company ITM Alimentaire  </w:t>
        <w:br/>
        <w:t xml:space="preserve">Région Parisienne of the company Menaphi, which operates a predominantly food retail outlet of hypermarket type with an area of 2,625 m², under the Intermarché brand, located in Evreux (27). It constitutes a concentration operation within the meaning of Article L. 430-1 of the Commercial Code. Given the turnover achieved by the concerned companies, the operation does not fall under the jurisdiction of the European Union. On the other hand, the control thresholds related to retail trade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18-154 is authorized.  </w:t>
        <w:br/>
        <w:t xml:space="preserve">The Vice-President,  </w:t>
        <w:br/>
        <w:t xml:space="preserve">Thierry Dahan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