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18-DCC-144 of August 22, 2018  </w:t>
        <w:br/>
        <w:t xml:space="preserve">regarding the exclusive control acquisition of the company Realease Expansion  </w:t>
        <w:br/>
        <w:t xml:space="preserve">by the company Weinberg Capital Partners  </w:t>
        <w:br/>
        <w:t xml:space="preserve">The Competition Authority,  </w:t>
        <w:br/>
        <w:t xml:space="preserve">Having regard to the complete notification file submitted to the mergers department on July 27, 2018,  </w:t>
        <w:br/>
        <w:t xml:space="preserve">concerning the exclusive control acquisition of the company Realease Expansion by Weinberg Capital  </w:t>
        <w:br/>
        <w:t xml:space="preserve">Partners, via the professional private equity fund WCP#3, and formalized by a share transfer and contribution agreement dated July 27,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Weinberg Capital  </w:t>
        <w:br/>
        <w:t xml:space="preserve">Partners SAS, via the professional private equity fund WCP#3, of the company  </w:t>
        <w:br/>
        <w:t xml:space="preserve">Realease Expansion SAS, which is active in the sector of leasing financing of movable assets for  </w:t>
        <w:br/>
        <w:t xml:space="preserve">businesses. It constitutes a concentration operation within the meaning of Article L. 430-1 of the  </w:t>
        <w:br/>
        <w:t xml:space="preserve">Commercial Code. Given the turnover achieved by the companies concerned, the operation does not fall  </w:t>
        <w:br/>
        <w:t xml:space="preserve">within the competence of the European Union. However, the control thresholds mentioned in point I of  </w:t>
        <w:br/>
        <w:t xml:space="preserve">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18-161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