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https://www.autoritedelaconcurrence.fr/fr/decision-de-controle-des-concentrations/relative-la-prise-de-controle-exclusif-de-la-societe-214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18-DCC-151 of August 30, 2018  </w:t>
        <w:br/>
        <w:t xml:space="preserve">regarding the exclusive control acquisition of the company Garage du Château  </w:t>
        <w:br/>
        <w:t xml:space="preserve">by the company GGD  </w:t>
        <w:br/>
        <w:t xml:space="preserve">The Competition Authority,  </w:t>
        <w:br/>
        <w:t xml:space="preserve">Having regard to the complete notification file sent to the mergers department on August 14, 2018,  </w:t>
        <w:br/>
        <w:t xml:space="preserve">concerning the exclusive control acquisition of the company Garage du Château by the company GGD, and  </w:t>
        <w:br/>
        <w:t xml:space="preserve">formalized by a share and social parts transfer agreement dated July 31,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 by the notifying party;  </w:t>
        <w:br/>
        <w:t xml:space="preserve">Adopts the following decision:  </w:t>
        <w:br/>
        <w:t xml:space="preserve">1. The notified operation consists of the exclusive control acquisition by the company GGD, belonging  </w:t>
        <w:br/>
        <w:t xml:space="preserve">to the Bernier group, of the company Garage du Château, which operates a car dealership for Opel and Kia brands in the department of Essonne (91). It constitutes a  </w:t>
        <w:br/>
        <w:t xml:space="preserve">concentration operation within the meaning of Article L. 430-1 of the Commercial Code. Given the  </w:t>
        <w:br/>
        <w:t xml:space="preserve">turnover achieved by the concerned companies, the operation does not fall under the  </w:t>
        <w:br/>
        <w:t xml:space="preserve">competence of the European Union. On the other hand, the control thresholds related to retail  </w:t>
        <w:br/>
        <w:t xml:space="preserve">mentioned in point II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18-095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