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https://www.autoritedelaconcurrence.fr/fr/decision-de-controle-des-concentrations/relative-la-prise-de-controle-exclusif-de-la-societe-216</w:t>
      </w:r>
    </w:p>
    <w:p>
      <w:r>
        <w:t>Pages translated : 2</w:t>
      </w:r>
    </w:p>
    <w:p/>
    <w:p>
      <w:r>
        <w:rPr>
          <w:b/>
        </w:rPr>
        <w:t>[Pages 1–2]</w:t>
      </w:r>
    </w:p>
    <w:p>
      <w:r>
        <w:t xml:space="preserve">FRENCH REPUBLIC  </w:t>
        <w:br/>
        <w:t xml:space="preserve">Decision No. 18-DCC-154 of September 13, 2018  </w:t>
        <w:br/>
        <w:t xml:space="preserve">regarding the exclusive control acquisition of the company Soprofen by the  </w:t>
        <w:br/>
        <w:t xml:space="preserve">Bouyer Leroux group  </w:t>
        <w:br/>
        <w:t>The Competition Authority,</w:t>
      </w:r>
    </w:p>
    <w:p>
      <w:r>
        <w:t xml:space="preserve">Having regard to the complete notification file submitted to the mergers department on August 28, 2018,  </w:t>
        <w:br/>
        <w:t xml:space="preserve">concerning the exclusive control acquisition of the company Soprofen by the Bouyer Leroux group,  </w:t>
        <w:br/>
        <w:t>formalized by a purchase promise dated July 13, 2018;</w:t>
      </w:r>
    </w:p>
    <w:p>
      <w:r>
        <w:t xml:space="preserve">Having regard to Book IV of the Commercial Code relating to the freedom of prices and competition, and  </w:t>
        <w:br/>
        <w:t>notably its Articles L. 430-1 to L. 430-7;</w:t>
      </w:r>
    </w:p>
    <w:p>
      <w:r>
        <w:t>Adopts the following decision:</w:t>
      </w:r>
    </w:p>
    <w:p>
      <w:r>
        <w:t>1. The notified operation consists of the exclusive control acquisition of the company Soprofen by the Bouyer Leroux group. It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The markets concerned by the operation are those of the manufacturing and marketing of roller shutters and garage doors, which are consistently defined by the decision-making practice of the competition authorities.</w:t>
      </w:r>
    </w:p>
    <w:p>
      <w:r>
        <w:t>3. Regardless of the segmentations retained, the cumulative market shares of the parties are below 25% when their activities overlap in the same market, and below 30% in upstream, downstream, or related markets.</w:t>
      </w:r>
    </w:p>
    <w:p>
      <w:r>
        <w:t>4. Considering the elements of the file and in particular point 384 of the guidelines of the Competition Authority relating to the control of concentrations, the operation is not likely to harm competition.</w:t>
      </w:r>
    </w:p>
    <w:p>
      <w:r>
        <w:t xml:space="preserve">DECIDES  </w:t>
        <w:br/>
        <w:t xml:space="preserve">Single Article: The operation notified under number 18-176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