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https://www.autoritedelaconcurrence.fr/fr/decision-de-controle-des-concentrations/relative-la-prise-de-controle-exclusif-de-la-societe-217</w:t>
      </w:r>
    </w:p>
    <w:p>
      <w:r>
        <w:t>Pages translated : 7</w:t>
      </w:r>
    </w:p>
    <w:p/>
    <w:p>
      <w:r>
        <w:rPr>
          <w:b/>
        </w:rPr>
        <w:t>[Pages 1–3]</w:t>
      </w:r>
    </w:p>
    <w:p>
      <w:r>
        <w:t xml:space="preserve">FRENCH REPUBLIC  </w:t>
        <w:br/>
        <w:t xml:space="preserve">Decision No. 18-DCC-164 of October 12, 2018  </w:t>
        <w:br/>
        <w:t>regarding the exclusive control of the company Servicios Compartidos Multiasistencia by the company Allianz Partners</w:t>
      </w:r>
    </w:p>
    <w:p>
      <w:r>
        <w:t xml:space="preserve">The Competition Authority,  </w:t>
        <w:br/>
        <w:t xml:space="preserve">Having regard to the notification file submitted in full to the merger service on September 12, 2018, concerning the exclusive control of the company Servicios Compartidos Multiasistencia SL by the company Allianz Partners SAS, formalized by a share transfer agreement dated July 20, 2018;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1. Allianz Partners is a simplified joint-stock company, exclusively controlled by the German company Allianz SE, at the head of the Allianz group. The Allianz group is a global provider of insurance and assistance solutions. In France, it is active in the fields of personal insurance and property insurance, particularly in multi-risk home insurance. It is also a provider of home assistance services.  </w:t>
        <w:br/>
        <w:t xml:space="preserve">2. Servicios Compartidos Multiasistencia SL is a Spanish company, at the head of the Multiasistencia group. It is exclusively controlled by the investment fund Portobello Capital, which holds 90.01% of its capital, the remainder being held by individuals. The Multiasistencia group is active in France in the sector of providing home assistance services.  </w:t>
        <w:br/>
        <w:t>1 Allianz SE is not controlled, within the meaning of competition law, by any company or individual.</w:t>
      </w:r>
    </w:p>
    <w:p>
      <w:r>
        <w:t xml:space="preserve">3. The operation, formalized by a share transfer agreement dated July 20, 2018, consists of the acquisition by Allianz Partners of the entire capital and voting rights of the company Servicios Compartidos Multiasistencia.  </w:t>
        <w:br/>
        <w:t xml:space="preserve">4. As it results in the exclusive control of the Multiasistencia group by the Allianz group, the notified operation constitutes a concentration within the meaning of Article L. 430-1 of the Commercial Code.  </w:t>
        <w:br/>
        <w:t xml:space="preserve">5. The companies concerned together achieve a total worldwide turnover excluding taxes of more than 150 million euros (Allianz group: 127.8 billion euros for the fiscal year ending December 31, 2017; Multiasistencia group: [&gt; 150 million] euros for the same fiscal year). Each of these companies has achieved in France a turnover exceeding 50 million euros (Allianz group: [&gt; 50 million] euros for the fiscal year ending December 31, 2017; Multiasistencia group: [&gt; 50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6. The operation was notified to the Brazilian competition authority on August 9, 2018, and to the Spanish competition authority on September 4, 2018.</w:t>
      </w:r>
    </w:p>
    <w:p>
      <w:r>
        <w:t xml:space="preserve">II. Definition of the relevant markets  </w:t>
        <w:br/>
        <w:t xml:space="preserve">7. The parties are simultaneously active in the home assistance services markets. Furthermore, the Allianz group is also active in the property insurance markets, which are downstream from the home assistance markets.  </w:t>
        <w:br/>
        <w:t xml:space="preserve">A. ASSISTANCE MARKETS  </w:t>
        <w:br/>
        <w:t xml:space="preserve">1. SERVICE MARKETS  </w:t>
        <w:br/>
        <w:t xml:space="preserve">8. European decision-making practice has distinguished assistance markets from insurance markets by noting that, regarding assistance, the provider organizes the assistance for the insured, while the insurer covers the costs related to the occurrence of a fortuitous event. The European Commission has thus identified the existence of (i) a travel assistance market and (ii) an automobile assistance market.  </w:t>
        <w:br/>
        <w:t xml:space="preserve">9. French decision-making practice has noted that the assistance market includes cash or in-kind services aimed at helping the insured when faced with a fortuitous event. In this sector, the following have been distinguished: (i) medical assistance (medical repatriation, coverage of medical expenses abroad), (ii) domestic assistance (childcare, delivery of medications), and (iii) technical assistance (troubleshooting, provision of a replacement vehicle).  </w:t>
        <w:br/>
        <w:t xml:space="preserve">10. To date, competition authorities have not ruled on the possible existence of a home assistance market.  </w:t>
        <w:br/>
        <w:t xml:space="preserve">11. By analogy with European decision-making practice in the field of automobile assistance services, the notifying party proposes a segmentation of home assistance services by distinguishing between (i) services provided to end consumers who would contract individually and (ii) services provided to professionals who purchase home assistance services to cover their own needs or resell these services to their clients, most often as part of bundled offers with other products.  </w:t>
        <w:br/>
        <w:t xml:space="preserve">12. Regarding home assistance services provided to professionals, the notifying party proposes a sub-segmentation between (i) emergency home assistance services and (ii) in-kind assistance services. It explains that emergency assistance services and in-kind assistance services are not provided under the same circumstances and do not meet the same needs. It further considers that, given their immediacy, emergency assistance services are more strategic for insurance companies. At the supply level, the notifying party emphasizes that in-kind assistance services are provided by specialized operators.  </w:t>
        <w:br/>
        <w:t xml:space="preserve">13. The Authority considers that these segmentation proposals, which are based on existing practice related to a related market (automobile assistance services), cover all markets that may be concerned by the present operation.  </w:t>
        <w:br/>
        <w:t xml:space="preserve">14. In any case, the exact delimitation of home assistance markets can be left open, as the conclusions of the competitive analysis remain unchanged, regardless of the segmentation considered.  </w:t>
        <w:br/>
        <w:t xml:space="preserve">15. In this case, the Allianz group provides emergency home assistance services to professionals, while the Multiasistencia group provides in-kind home assistance services to professionals and end consumers.  </w:t>
        <w:br/>
        <w:t xml:space="preserve">2. GEOGRAPHICAL MARKETS  </w:t>
        <w:br/>
        <w:t xml:space="preserve">16. European and French decision-making practice considers that the markets for assistance services have the same geographical dimension as insurance markets.  </w:t>
        <w:br/>
        <w:t xml:space="preserve">17. Thus, with the exception of certain insurances covering large-scale risks, insurance product markets have been considered to be of national dimension, given consumer preferences, the existence of legislation, and constraints.  </w:t>
        <w:br/>
        <w:t xml:space="preserve">4 See notably the letter from the Minister of Economy, Finance and Industry C2005-51 of November 23, 2005, to the councils of the MAAF and MMA groups regarding a concentration in the insurance sector; see the decision of the Competition Authority No. 10-DCC-52 of June 2, 2010, regarding the creation of a Mutual Insurance Group Company ("SGAM") by MACIF, MAIF, and MATMUT.  </w:t>
        <w:br/>
        <w:t xml:space="preserve">5 See notably the aforementioned decision COMP/M.3772.  </w:t>
        <w:br/>
        <w:t xml:space="preserve">6 Emergency home assistance services are implemented quickly after the occurrence of damage, while in-kind home assistance services are provided at a later stage, after emergency services have been provided.  </w:t>
        <w:br/>
        <w:t xml:space="preserve">7 See decisions COMP/M.4701 and COMP/M.6649; see the decision of the Competition Authority No. 11-DCC-163 of November 9, 2011, regarding the exclusive control by the companies SMABTP and Auxiliaire of a portfolio of contracts for corporate vehicle insurance.  </w:t>
        <w:br/>
        <w:t>3</w:t>
      </w:r>
    </w:p>
    <w:p>
      <w:r>
        <w:rPr>
          <w:b/>
        </w:rPr>
        <w:t>[Pages 4–6]</w:t>
      </w:r>
    </w:p>
    <w:p>
      <w:r>
        <w:t>national tax systems, the current structure of these markets, or the regulatory systems concerning this sector of activity. While recognizing that insurance markets were increasingly open to European competition, the European Commission confirmed the national dimension of these markets.</w:t>
      </w:r>
    </w:p>
    <w:p>
      <w:r>
        <w:t>B. INSURANCE MARKETS</w:t>
      </w:r>
    </w:p>
    <w:p>
      <w:r>
        <w:t>1. PRODUCT MARKETS</w:t>
      </w:r>
    </w:p>
    <w:p>
      <w:r>
        <w:t>18. Decision-making practice consistently distinguishes between personal insurance markets, property and casualty insurance (goods and liabilities), and reinsurance markets.</w:t>
      </w:r>
    </w:p>
    <w:p>
      <w:r>
        <w:t>19. Regarding the first two categories of products, competition authorities have determined that they can be segmented into as many markets as there are insurances covering different types of risks, inasmuch as, from the demand perspective, insurances covering these different risks are not substitutable.</w:t>
      </w:r>
    </w:p>
    <w:p>
      <w:r>
        <w:t>20. In this regard, French decision-making practice has considered a potential segment of multi-risk home insurance within the property and casualty insurance market.</w:t>
      </w:r>
    </w:p>
    <w:p>
      <w:r>
        <w:t>21. However, European decision-making practice has noted that, from the supply perspective, the insurance conditions for different types of risks are quite similar and that the largest insurance companies cover several types of risks, such that different types of property and casualty insurances could be included in the same market.</w:t>
      </w:r>
    </w:p>
    <w:p>
      <w:r>
        <w:t>22. In the case at hand, the question of the existence of a segment of multi-risk home insurance, in which only the Allianz group is active, can be left open, as the conclusions of the competitive analysis remain unchanged, regardless of the hypothesis adopted.</w:t>
      </w:r>
    </w:p>
    <w:p>
      <w:r>
        <w:t>2. GEOGRAPHICAL MARKETS</w:t>
      </w:r>
    </w:p>
    <w:p>
      <w:r>
        <w:t>23. As recalled above (§ 17), with the exception of certain insurances covering large-scale risks, insurance product markets have been considered by competition authorities to be of national dimension.</w:t>
      </w:r>
    </w:p>
    <w:p>
      <w:r>
        <w:t>24. On a potential global market for home assistance services, the market share of the new entity will be below [0-5] %.</w:t>
      </w:r>
    </w:p>
    <w:p>
      <w:r>
        <w:t>25. Regarding the provision of home assistance services to end consumers, the market share of the Multiasistencia group will be below [0-5] %, as the Allianz group is not active in this potential segment.</w:t>
      </w:r>
    </w:p>
    <w:p>
      <w:r>
        <w:t>26. Regarding home assistance provided to professionals, the market share of the new entity will be between [20-30] % and [20-30] % (Allianz group: [5-20] %; Multiasistencia group: [10-20] %). It will notably face competition from major groups, such as IMA ([20-30] %), AXA ([10-20] %), and Covéa ([10-20] %).</w:t>
      </w:r>
    </w:p>
    <w:p>
      <w:r>
        <w:t>27. Furthermore, the operation does not result in any overlap of activity in the emergency home assistance sub-segment for professionals, should it be recognized, given that only the Allianz group is active there, with an estimated market share between [10-20] % and [20-30] %. Similarly, the operation does not result in any overlap of activity in the in-kind home assistance sub-segment for professionals, in which only the Multiasistencia group is active, with an estimated market share between [20-30] % and [20-30] %.</w:t>
      </w:r>
    </w:p>
    <w:p>
      <w:r>
        <w:t>28. In light of these elements, the operation does not raise serious doubts about harming competition in the home assistance markets through horizontal effects.</w:t>
      </w:r>
    </w:p>
    <w:p>
      <w:r>
        <w:t>B. ANALYSIS OF VERTICAL EFFECTS</w:t>
      </w:r>
    </w:p>
    <w:p>
      <w:r>
        <w:t>29. A vertical concentration can restrict competition by making access to the markets in which the new entity will be active more difficult,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holds that a risk of vertical effect can generally be ruled out as long as the market share of the entity resulting from the operation in the relevant markets does not exceed 30 %.</w:t>
      </w:r>
    </w:p>
    <w:p>
      <w:r>
        <w:t>30. As outlined in the previous section, the notifying party estimates that the market share of the new entity in the home assistance markets will be below 30 %, regardless of the segmentation considered.</w:t>
      </w:r>
    </w:p>
    <w:p>
      <w:r>
        <w:t>31. In the property and casualty insurance market, the notifying party estimates that the market share of the Allianz group is below 10 %. In a multi-risk home insurance segment, this market share would be [5-10] %.</w:t>
      </w:r>
    </w:p>
    <w:p>
      <w:r>
        <w:t>32. In light of these elements, the operation does not raise serious doubts about harming competition through vertical effects.</w:t>
      </w:r>
    </w:p>
    <w:p>
      <w:r>
        <w:t>C. ANALYSIS OF CONGLOMERATE EFFECTS</w:t>
      </w:r>
    </w:p>
    <w:p>
      <w:r>
        <w:t>33. A concentration has conglomerate effects when the new entity extends or strengthens its presence in several markets whose connectivity may allow it to increase its market power. Generally, such effects are analyzed when a concentration operation extends or strengthens the presence of a new entity in several distinct but related markets. These effects can also be analyzed when the strengthening of a new entity's position occurs in the same market, but it is a market of sufficiently differentiated products such that, on the one hand, a leveraging effect can be exercised from one of them and, on the other hand, the same customers regularly purchase more than one product within this product range. While conglomerate concentrations can generally generate pro-competitive synergies, some may nonetheless produce restrictive competition effects when they allow for the technical or commercial tying of the sales or purchases of the components of the grouping in a way that locks the market and excludes competitors.</w:t>
      </w:r>
    </w:p>
    <w:p>
      <w:r>
        <w:t>34. Decision-making practice of competition authorities generally considers that a risk of conglomerate effect can be ruled out as long as the share of the entity resulting from the operation in the relevant markets does not exceed 30 %.</w:t>
      </w:r>
    </w:p>
    <w:p>
      <w:r>
        <w:t>35. In the case at hand, the new entity could decide to tie, within the same offer aimed at professionals, emergency home assistance services and in-kind home assistance services.</w:t>
      </w:r>
    </w:p>
    <w:p>
      <w:r>
        <w:t>36. However, as outlined in the section on the analysis of horizontal effects of the operation, in the home assistance markets, the market shares of the new entity will be below 30 %, regardless of the segmentation considered.</w:t>
      </w:r>
    </w:p>
    <w:p>
      <w:r>
        <w:t>37. Customers of the new entity will also have credible alternatives to the new entity, both in terms of emergency home assistance services (Axa: [20-30] %; Covéa: [10-30] %) and in-kind home assistance services (Domus: [10-20] %). The new entity will notably face competition from IMA, which is simultaneously present in both types of services (in-kind home assistance: [30-40] %; emergency home assistance: [20-30] %).</w:t>
      </w:r>
    </w:p>
    <w:p>
      <w:r>
        <w:t>38. In light of these elements, the operation does not raise serious doubts about harming competition through conglomerate effects.</w:t>
      </w:r>
    </w:p>
    <w:p>
      <w:r>
        <w:rPr>
          <w:b/>
        </w:rPr>
        <w:t>[Pages 7–7]</w:t>
      </w:r>
    </w:p>
    <w:p>
      <w:r>
        <w:t>DECIDES</w:t>
      </w:r>
    </w:p>
    <w:p>
      <w:r>
        <w:t>Sole Article: The operation notified under number 18-180 is authorized.</w:t>
      </w:r>
    </w:p>
    <w:p>
      <w: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