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https://www.autoritedelaconcurrence.fr/fr/decision-de-controle-des-concentrations/relative-la-prise-de-controle-exclusif-de-la-societe-218</w:t>
      </w:r>
    </w:p>
    <w:p>
      <w:r>
        <w:t>Pages translated : 2</w:t>
      </w:r>
    </w:p>
    <w:p/>
    <w:p>
      <w:r>
        <w:rPr>
          <w:b/>
        </w:rPr>
        <w:t>[Pages 1–2]</w:t>
      </w:r>
    </w:p>
    <w:p>
      <w:r>
        <w:t xml:space="preserve">FRENCH REPUBLIC  </w:t>
        <w:br/>
        <w:t xml:space="preserve">Decision No. 18-DCC-165 of October 15, 2018  </w:t>
        <w:br/>
        <w:t xml:space="preserve">regarding the exclusive control acquisition of the company Dubreuil Carburants by the DCC group  </w:t>
        <w:br/>
        <w:t xml:space="preserve">The Competition Authority,  </w:t>
        <w:br/>
        <w:t xml:space="preserve">Having regard to the complete notification file submitted to the mergers department on September 21, 2018, concerning the exclusive control acquisition of the company Dubreuil Carburants by the DCC group, formalized by a transfer agreement dated September 20,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Dubreuil Carburants by the DCC group. It constitutes a concentration operation within the meaning of Article L. 430-1 of the Commercial Code. Given the turnover achieved by the companies involved,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retail and wholesale sale of fuels, which are consistently defined by decision-making practice. The parties are simultaneously active in the markets.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18-182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