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https://www.autoritedelaconcurrence.fr/fr/decision-de-controle-des-concentrations/relative-la-prise-de-controle-exclusif-de-la-societe-219</w:t>
      </w:r>
    </w:p>
    <w:p>
      <w:r>
        <w:t>Pages translated : 2</w:t>
      </w:r>
    </w:p>
    <w:p/>
    <w:p>
      <w:r>
        <w:rPr>
          <w:b/>
        </w:rPr>
        <w:t>[Pages 1–2]</w:t>
      </w:r>
    </w:p>
    <w:p>
      <w:r>
        <w:t xml:space="preserve">FRENCH REPUBLIC  </w:t>
        <w:br/>
        <w:t xml:space="preserve">Decision No. 18-DCC-166 of October 15, 2018  </w:t>
        <w:br/>
        <w:t xml:space="preserve">regarding the exclusive control acquisition of the company Holding Saint-Augustin by Groupe Charles André  </w:t>
        <w:br/>
        <w:t xml:space="preserve">The Competition Authority,  </w:t>
        <w:br/>
        <w:t xml:space="preserve">Having regard to the complete notification file sent to the mergers department on September 11, 2018, concerning the exclusive control acquisition of the company Holding Saint-Augustin by Groupe Charles André, formalized by a firm offer dated May 4, 2018;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the company Holding Saint-Augustin and its subsidiaries by Groupe Charles André. It constitutes a concentration within the meaning of Article L. 430-1 of the Commercial Code. Given the turnover achieved by the concerned companies, the notification thresholds of Article 1 paragraph 2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logistics services and those of road transport of goods, which are consistently defined by the decision-making practice of the Competition Authority.  </w:t>
        <w:br/>
        <w:t xml:space="preserve">3. Regardless of the segmentations retained, the combined market shares of the parties are below 25% when their activities overlap in the same market and below 30% when their activities are located in related markets.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Sole Article: The operation notified under number 18-162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