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https://www.autoritedelaconcurrence.fr/fr/decision-de-controle-des-concentrations/relative-la-prise-de-controle-exclusif-de-la-societe-22</w:t>
      </w:r>
    </w:p>
    <w:p>
      <w:r>
        <w:t>Pages translated : 4</w:t>
      </w:r>
    </w:p>
    <w:p/>
    <w:p>
      <w:r>
        <w:rPr>
          <w:b/>
        </w:rPr>
        <w:t>[Pages 1–3]</w:t>
      </w:r>
    </w:p>
    <w:p>
      <w:r>
        <w:t xml:space="preserve">FRENCH REPUBLIC  </w:t>
        <w:br/>
        <w:t xml:space="preserve">Decision No. 10-DCC-74 of July 19, 2010  </w:t>
        <w:br/>
        <w:t xml:space="preserve">regarding the exclusive control  </w:t>
        <w:br/>
        <w:t xml:space="preserve">of the company Network Concept Finances by the Eolane group  </w:t>
        <w:br/>
        <w:t xml:space="preserve">The Competition Authority,  </w:t>
        <w:br/>
        <w:t xml:space="preserve">Having regard to the notification file submitted in full to the merger service on June 14, 2010,  </w:t>
        <w:br/>
        <w:t xml:space="preserve">regarding the exclusive control of the company Network Concept Finances by the Eolane group, formalized by the signing, on May 5, 2010, of a memorandum of understanding regarding the acquisition of all the shares of the company Network Concept Finances by the company Financière de l’Ombrée, head of the Eolane group;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1. The company Financière de l’Ombrée, head of the Eolane group, is a simplified joint-stock company whose capital is divided between the company SGR (85%) and eleven minority shareholders (15%), the capital of the company SGR being itself held by natural persons. The Eolane group is primarily active in the design, study, industrialization, and subcontract manufacturing of electronic products intended for professionals, particularly in the fields of defense, aeronautics, automotive, telecommunications, and the railway sector. The total worldwide turnover excluding taxes of the Eolane group for the last fiscal year ending December 31, 2009, amounted to 145 million euros, of which 101 million was exclusively achieved in France.</w:t>
      </w:r>
    </w:p>
    <w:p>
      <w:r>
        <w:t>2. The company Network Concept Finances is a simplified joint-stock company that holds, directly or indirectly, controlling interests in nine companies: Ascodi Industries, Ardelec Technologies, Atelec Technologies, In’Technologies, Emelec Technologies, NC2 Network Computer Communication, Sigmapole, Assiopole, and Medielec Technologies. All these companies are involved in the industrialization and subcontract manufacturing of electronic products intended for professionals in the railway, defense, aeronautics, telecommunications, health, and automotive sectors. They achieved, in the last fiscal year ending December 31, 2009, a total worldwide turnover excluding taxes of 82 million euros, of which 80 million was exclusively achieved in France.</w:t>
      </w:r>
    </w:p>
    <w:p>
      <w:r>
        <w:t>3. The operation, formalized by a memorandum of understanding signed by the parties on May 5, 2010, concerns the acquisition of all the shares of the company Network Concept Finances by the company Financière de l’Ombrée, head of the Eolane group.</w:t>
      </w:r>
    </w:p>
    <w:p>
      <w:r>
        <w:t xml:space="preserve">4. Insofar as it leads to the acquisition of exclusive control of the company Network Concept Finances by the Eolane Group, the notified operation is a concentration operation within the meaning of Article L.430-1 of the Commercial Code. Given the turnover of the companies concerned, it is not of community dimension. However, the notification thresholds provided for in point I of Article L.430-2 of the Commercial Code are exceeded. This operation is therefore subject to the provisions of Articles L.430-3 and following of the Commercial Code relating to economic concentration.  </w:t>
        <w:br/>
        <w:t xml:space="preserve">II. Delimitation of the relevant markets  </w:t>
        <w:br/>
        <w:t xml:space="preserve">A. THE MARKETS FOR PRODUCTS AND SERVICES  </w:t>
        <w:br/>
        <w:t>5. The parties to the concentration are simultaneously active in the industrialization and subcontract manufacturing of electronic products intended for professionals, particularly in the railway, aeronautics, automotive, and telecommunications sectors.</w:t>
      </w:r>
    </w:p>
    <w:p>
      <w:r>
        <w:t>6. According to community decision-making practice, electronic manufacturing services ("Electronic Manufacturing Services" or EMS) encompass all services related to the manufacturing of electronic products on behalf of original equipment manufacturers ("Original Equipment Manufacturer" or OEM), namely product design, selection and supply of components, prototyping, production and assembly, testing, failure analysis, logistics, distribution, and after-sales service.</w:t>
      </w:r>
    </w:p>
    <w:p>
      <w:r>
        <w:t>7. The European Commission considers that subcontracted electronic manufacturing services constitute a relevant market. It has also considered segmenting the market based on the final products or services into which the subcontracted products are incorporated: automotive, telecommunications, aeronautics or defense, consumer goods, computing, medical equipment, etc. This distinction would be justified by the existence of an increasing specialization of suppliers.</w:t>
      </w:r>
    </w:p>
    <w:p>
      <w:r>
        <w:t>8. The notifying party believes that companies subcontracting electronic manufacturing services have the ability to offer a wide range of services and adapt their offerings to the demands of their clients without needing to acquire new production units. They have the capability to manufacture electronic equipment for different sectors, such as aeronautics, medicine, or telecommunications, with products being manufactured using similar processes, by assembling printed circuit boards. Thus, it challenges the relevance of segmentation according to the final destination of the considered product or service.</w:t>
      </w:r>
    </w:p>
    <w:p>
      <w:r>
        <w:t xml:space="preserve">9. In the present case, the question of the precise delineation of this market will be left open insofar as, regardless of the hypothesis adopted, the competitive analysis will remain unchanged.  </w:t>
        <w:br/>
        <w:t xml:space="preserve">B. THE GEOGRAPHICAL MARKETS  </w:t>
        <w:br/>
        <w:t>10. The European Commission has considered that the markets for electronic manufacturing services are at least of European dimension, if not global. The notifying party similarly believes that clients in these markets organize their supplies on a global scale, with transport and customs costs remaining low.</w:t>
      </w:r>
    </w:p>
    <w:p>
      <w:r>
        <w:t xml:space="preserve">11. In the absence of any competitive issues, the question of the geographical delineation of these markets can be left open.  </w:t>
        <w:br/>
        <w:t xml:space="preserve">III. The competitive analysis  </w:t>
        <w:br/>
        <w:t>12. According to the data provided by the parties, the European market for electronic subcontracting was estimated at approximately 27 billion euros in 2008.</w:t>
      </w:r>
    </w:p>
    <w:p>
      <w:r>
        <w:t>13. Regarding the global market for electronic manufacturing services, the parties estimated their combined market shares at 0.68% (0.4% for the Eolane group and 0.28% for the Network Concept Finances group).</w:t>
      </w:r>
    </w:p>
    <w:p>
      <w:r>
        <w:t>14. Regarding the markets for electronic manufacturing services segmented according to the final destination of the subcontracted products, the combined market shares of the parties are as follows:</w:t>
      </w:r>
    </w:p>
    <w:p>
      <w:r>
        <w:rPr>
          <w:b/>
        </w:rPr>
        <w:t>[Pages 4–4]</w:t>
      </w:r>
    </w:p>
    <w:p>
      <w:r>
        <w:t>market shares of</w:t>
        <w:br/>
        <w:t>market shares market shares</w:t>
        <w:br/>
        <w:t>sectors Network Concept</w:t>
        <w:br/>
        <w:t>of Eolane cumulative</w:t>
        <w:br/>
        <w:t>Finances</w:t>
        <w:br/>
        <w:t>Aerospace/</w:t>
        <w:br/>
        <w:t>4.5 % 0.7 % 5.2 %</w:t>
        <w:br/>
        <w:t>Defense</w:t>
        <w:br/>
        <w:t>Communication 0.1 % 0.1 % 0.2 %</w:t>
        <w:br/>
        <w:t>Medical sector 0.3 % 0.2 % 0.5 %</w:t>
        <w:br/>
        <w:t>Automotive 0.7 % 0.2 % 0.9 %</w:t>
        <w:br/>
        <w:t>Other industrial</w:t>
        <w:br/>
        <w:t>sector,</w:t>
        <w:br/>
        <w:t>0.8 % 1.7 % 2.5 %</w:t>
        <w:br/>
        <w:t>notably</w:t>
        <w:br/>
        <w:t>railway</w:t>
        <w:br/>
        <w:t>others 1.5 % 0.5 % 2 %</w:t>
        <w:br/>
        <w:t>15. Furthermore, the parties identify numerous competing operators, including at least fifteen</w:t>
        <w:br/>
        <w:t>that have a turnover exceeding their cumulative turnover. Foxconn,</w:t>
        <w:br/>
        <w:t>Flextronics, Jabil, Elcoteq, Celestica, Sanmina-SCI, Zollner thus have respective market shares of 17.7 %, 13.7 %, 7.1 %, 6.2 %, 2.7 %, 2.4 %, 2.3 % across the entire</w:t>
        <w:br/>
        <w:t>market considered.</w:t>
        <w:br/>
        <w:t>16. In light of the above elements, the operation is not likely to harm competition in the</w:t>
        <w:br/>
        <w:t>relevant markets.</w:t>
        <w:br/>
        <w:t>DECIDES</w:t>
        <w:br/>
        <w:t>Sole Article: The operation notified under number 10-0074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