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https://www.autoritedelaconcurrence.fr/fr/decision-de-controle-des-concentrations/relative-la-prise-de-controle-exclusif-de-la-societe-220</w:t>
      </w:r>
    </w:p>
    <w:p>
      <w:r>
        <w:t>Pages translated : 7</w:t>
      </w:r>
    </w:p>
    <w:p/>
    <w:p>
      <w:r>
        <w:rPr>
          <w:b/>
        </w:rPr>
        <w:t>[Pages 1–3]</w:t>
      </w:r>
    </w:p>
    <w:p>
      <w:r>
        <w:t xml:space="preserve">FRENCH REPUBLIC  </w:t>
        <w:br/>
        <w:t xml:space="preserve">Decision No. 18-DCC-178 of November 27, 2018  </w:t>
        <w:br/>
        <w:t xml:space="preserve">regarding the exclusive control of the company Groupe Dushow by  </w:t>
        <w:br/>
        <w:t>the company Groupe Novelty</w:t>
      </w:r>
    </w:p>
    <w:p>
      <w:r>
        <w:t xml:space="preserve">The Competition Authority,  </w:t>
        <w:br/>
        <w:t xml:space="preserve">Having regard to the notification file sent to the merger service on August 9, 2018, declared complete on October 23, 2018, regarding the exclusive control of the company Groupe Dushow by the company Groupe Novelty, formalized by a deed of transfer and contribution dated July 30, 2018;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Groupe Novelty, a simplified joint-stock company, is the parent company of the Novelty group, ultimately controlled by Mr. Jacques de la Guillonnière. The Novelty group is primarily active in France, through its subsidiaries, in providing technical services notably for the luxury and fashion sector, corporate events, concert and theater halls, and museums. Marginally, the Novelty group also engages in the sale of equipment used by technical service providers.  </w:t>
        <w:br/>
        <w:t>2. Groupe Dushow, a public limited company, is the parent company of the Dushow group. The capital of the company Groupe Dushow is held by Messrs. Éric Alvergnat ([…] %), Denis Pinchedez ([…] %), Gérard Trévignon ([…] %) as well as by employees and former employees. Through its subsidiaries, the Dushow group is primarily active in France in providing technical services for live performances (festivals, theater, dance, circus arts, street arts, and opera) and for audiovisual services. Marginally, the Dushow group sells equipment used by technical service providers. Prior to the operation, Groupe Dushow was not controlled, within the meaning of merger law.</w:t>
      </w:r>
    </w:p>
    <w:p>
      <w:r>
        <w:t xml:space="preserve">3. The operation, formalized by a deed of transfer and contribution dated July 30, 2018, involves the acquisition by the company Groupe Novelty of all the shares comprising the capital of the company Groupe Dushow by way of transfer and contribution. As it results in the exclusive control of the company Groupe Dushow by the company Groupe Novelty, the operation constitutes a concentration operation, within the meaning of Article L. 430-1 of the Commercial Code.  </w:t>
        <w:br/>
        <w:t>4. The companies concerned together achieve a total worldwide turnover excluding tax of more than 150 million euros (Groupe Novelty: [&gt; 75 million] euros for the fiscal year ended March 31, 2018; Groupe Dushow: [&gt; 75 million] euros for the fiscal year ended December 31, 2017). Each of these companies has achieved in France a turnover exceeding 50 million euros (Groupe Novelty: [&gt; 50 million] euros for the fiscal year ended March 31, 2018; Groupe Dushow: [&gt; 50 million] euros for the fiscal year ended December 31, 2017).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5. The parties to the operation are simultaneously active in the markets for the provision of technical services for live performances and event management and in the retail distribution market of brown goods for professionals1.  </w:t>
        <w:br/>
        <w:t xml:space="preserve">A. MARKETS FOR THE PROVISION OF TECHNICAL SERVICES FOR LIVE PERFORMANCES AND EVENT MANAGEMENT  </w:t>
        <w:br/>
        <w:t xml:space="preserve">1. SERVICE MARKETS  </w:t>
        <w:br/>
        <w:t xml:space="preserve">6. Technical services for live performances and event management essentially consist of the provision by a service provider of equipment and personnel responsible for its setup, operation, and dismantling. These services include several types of services, mainly related to sound, lighting, video, structure, energy supply, and general management.  </w:t>
        <w:br/>
        <w:t xml:space="preserve">7. Live performance is governed by Law No. 99-198 of March 18, 1999, which defines it as a "public performance of a work of the mind" involving "the physical presence of at least one performing artist receiving remuneration"2. Live performance covers artistic events such as concerts, festivals, plays, etc.  </w:t>
        <w:br/>
        <w:t xml:space="preserve">1 The parties also engage in a marginal activity of selling lighting equipment for professionals, for which their combined market share is, according to the parties' estimates, approximately 1%. Given the low market share, any risk of harm to competition can be ruled out, and this activity will not be subject to detailed analysis in this decision.  </w:t>
        <w:br/>
        <w:t>2 See Law No. 99-198 of March 18, 1999 amending Ordinance No. 45-2339 of October 13, 1945 relating to performances.</w:t>
      </w:r>
    </w:p>
    <w:p>
      <w:r>
        <w:t xml:space="preserve">8. Event management encompasses all events requiring the provision of technical equipment but not pertaining to live performances: trade shows, corporate conventions, public meetings, etc.  </w:t>
        <w:br/>
        <w:t xml:space="preserve">9. The majority of competitors who responded to the market test indicated that the technical services provided for live performances and those provided for event management were not significantly different in terms of equipment and technology used. However, these two types of events would differ in terms of commercial approach and type of clientele. The notifying party considers that the technical services provided in these two sectors can be distinguished due to the equipment and their different operating rhythms (seasonal nature of the event management sector and regular nature of the live performance sector). Given these elements, a segmentation between the provision of technical services for (i) live performances and (ii) event management cannot be ruled out.  </w:t>
        <w:br/>
        <w:t xml:space="preserve">10. Furthermore, the notifying party and the responses from competitors to the market test highlight a certain specificity of the provision of technical services for the audiovisual sector compared to the live performance and event management sectors, such that the provision of these services (television studio equipment and image capture for rebroadcasting) could belong to a distinct market.  </w:t>
        <w:br/>
        <w:t xml:space="preserve">11. Finally, regarding segmentation by type of services, the notifying party considers that it would not be relevant as the majority of companies in the sector are not specialized by profession. The responses to the market tests on this point are mixed: the competitors of the parties consider that the different services are generally provided by a single provider, whereas clients emphasize the use of multiple providers for the same event/live performance. Thus, a segmentation of the market based on the type of services ((i) sound, (ii) lighting, (iii) structure, (iv) video, (v) energy supply, and (vi) general management) cannot be ruled out.  </w:t>
        <w:br/>
        <w:t xml:space="preserve">12. In this case, the question of the exact definition of these markets can, however, be left open, as the conclusions of the competitive analysis remain unchanged, regardless of the segmentation retained.  </w:t>
        <w:br/>
        <w:t xml:space="preserve">2. GEOGRAPHICAL MARKETS  </w:t>
        <w:br/>
        <w:t xml:space="preserve">13. The notifying party considers that the market for the provision of technical services for live performances and event management is of national dimension as the parties operate throughout the French territory and are equipped with vehicles allowing the mobility of their services. However, the notifying party has not challenged a regional definition3, which it justifies notably for operational reasons.  </w:t>
        <w:br/>
        <w:t xml:space="preserve">14. The majority of competitors who responded to the market test indicated that, generally, clients of technical services for live performances and event management were located in the same region as the provider. These respondents also indicated that providers of technical services for live performances and event management were generally established in several regions through agencies.  </w:t>
        <w:br/>
        <w:t xml:space="preserve">15. In this case, the question of the geographical definition of these markets can be left open, as the conclusions of the competitive analysis remain unchanged whether the market is defined at the national or regional level.  </w:t>
        <w:br/>
        <w:t>3 Former administrative regions.</w:t>
      </w:r>
    </w:p>
    <w:p>
      <w:r>
        <w:rPr>
          <w:b/>
        </w:rPr>
        <w:t>[Pages 4–6]</w:t>
      </w:r>
    </w:p>
    <w:p>
      <w:r>
        <w:t>B. RETAIL DISTRIBUTION MARKET OF BROWN GOODS FOR PROFESSIONALS</w:t>
      </w:r>
    </w:p>
    <w:p>
      <w:r>
        <w:t>1. PRODUCT MARKETS</w:t>
      </w:r>
    </w:p>
    <w:p>
      <w:r>
        <w:t>16. Decision-making practice segments the market for the distribution of household appliances according to the type of clientele, the product family, and the distribution channel4.</w:t>
      </w:r>
    </w:p>
    <w:p>
      <w:r>
        <w:t>17. Regarding the distinction based on the type of clientele, decision-making practice has considered segmenting the retail distribution of household appliances according to whether it is aimed at individual consumers or professionals.</w:t>
      </w:r>
    </w:p>
    <w:p>
      <w:r>
        <w:t>18. Competition authorities usually distinguish three product families: (i) white goods, which notably include cooktops, stoves, ovens, built-in sets, hoods, washing machines, dryers, dishwashers, refrigerators, freezers, small kitchen appliances, coffee makers, food processors, irons, and vacuum cleaners; (ii) brown goods, which include televisions, VCRs, camcorders, hi-fi and audio equipment, digital devices, and DVD players; and (iii) grey goods, which include personal computers, monitors, peripherals (such as printers or scanners), keyboards, modular accessories or spare parts (such as memory cards or additional hard drives, for example), software, and telephony.</w:t>
      </w:r>
    </w:p>
    <w:p>
      <w:r>
        <w:t>19. Decision-making practice has also considered the existence of a "entertainment/multimedia" market consisting of game consoles, console accessories, games for consoles and PCs5.</w:t>
      </w:r>
    </w:p>
    <w:p>
      <w:r>
        <w:t>20. Finally, decision-making practice has left open the question of segmentation based on the distribution channel distinguishing physical points of sale and distance selling.</w:t>
      </w:r>
    </w:p>
    <w:p>
      <w:r>
        <w:t>21. In this case, the question of the exact definition of these markets can be left open, as the conclusions of the competitive analysis remain unchanged regardless of the segmentations retained.</w:t>
      </w:r>
    </w:p>
    <w:p>
      <w:r>
        <w:t>2. GEOGRAPHICAL MARKETS</w:t>
      </w:r>
    </w:p>
    <w:p>
      <w:r>
        <w:t>22. With regard to the retail distribution of household appliances in physical points of sale, competition authorities have estimated that consumers are willing to undertake a variable journey, generally lasting 20 to 45 minutes depending on their location, to reach a store6.</w:t>
      </w:r>
    </w:p>
    <w:p>
      <w:r>
        <w:t>23. The market for distance selling of household appliances is considered to be of national dimension, given the linguistic differences, the heterogeneity of consumer habits, as well as the costs and delivery times7.</w:t>
      </w:r>
    </w:p>
    <w:p>
      <w:r>
        <w:t>24. There is no need to challenge these definitions in the context of the present operation.</w:t>
      </w:r>
    </w:p>
    <w:p>
      <w:r>
        <w:t>III. Competitive Analysis</w:t>
      </w:r>
    </w:p>
    <w:p>
      <w:r>
        <w:t>A. ANALYSIS OF HORIZONTAL EFFECTS</w:t>
      </w:r>
    </w:p>
    <w:p>
      <w:r>
        <w:t>1. MARKETS FOR THE PROVISION OF TECHNICAL SERVICES FOR LIVE PERFORMANCES AND EVENT MANAGEMENT</w:t>
      </w:r>
    </w:p>
    <w:p>
      <w:r>
        <w:t>25. At both the national and regional levels, according to the estimates of the notifying party, the market share of the new entity in the market for the provision of technical services for live performances and event management will be less than 25%, regardless of the segmentation considered.</w:t>
      </w:r>
    </w:p>
    <w:p>
      <w:r>
        <w:t>26. Given these limited market shares, the operation is not likely to harm competition through horizontal effects in the market for the provision of technical services for live performances and event management.</w:t>
      </w:r>
    </w:p>
    <w:p>
      <w:r>
        <w:t>2. THE RETAIL DISTRIBUTION MARKET OF BROWN GOODS FOR PROFESSIONALS</w:t>
      </w:r>
    </w:p>
    <w:p>
      <w:r>
        <w:t>27. In the retail distribution market of brown goods for professionals, the notifying party estimates that the market share of the new entity will be less than 10%, both nationally and locally, regardless of the segmentation considered.</w:t>
      </w:r>
    </w:p>
    <w:p>
      <w:r>
        <w:t>28. Given these limited market shares, the operation is not likely to harm competition through horizontal effects in the retail distribution market of brown goods for professionals.</w:t>
      </w:r>
    </w:p>
    <w:p>
      <w:r>
        <w:t>B. ANALYSIS OF VERTICAL EFFECTS</w:t>
      </w:r>
    </w:p>
    <w:p>
      <w:r>
        <w:t>29. A vertical concentration can restrict competition by making access to the markets in which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decision-making practice considers that a risk of vertical effect can generally be ruled out as long as the market share of the company resulting from the operation in the relevant markets does not exceed 30%.</w:t>
      </w:r>
    </w:p>
    <w:p>
      <w:r>
        <w:t>30. In this case, the new entity could decide to refuse to distribute equipment to its competitors in the market for the provision of technical services for live performances and event management (input lock-in).</w:t>
      </w:r>
    </w:p>
    <w:p>
      <w:r>
        <w:t>31. The new entity could also decide to stop sourcing equipment from its competitors in the retail distribution market of brown goods for professionals (customer lock-in).</w:t>
      </w:r>
    </w:p>
    <w:p>
      <w:r>
        <w:t>32. However, as stated in the previous section, the notifying party estimates that, in the market for the provision of technical services for live performances and event management, the market share of the new entity will be less than 25%, regardless of the segmentation considered.</w:t>
      </w:r>
    </w:p>
    <w:p>
      <w:r>
        <w:t>33. Similarly, the notifying party estimates that, in the retail distribution market of brown goods for professionals, the share of the new entity will be less than 10%, both nationally and locally, regardless of the segmentation considered.</w:t>
      </w:r>
    </w:p>
    <w:p>
      <w:r>
        <w:t>34. Given these market shares below 30%, both upstream and downstream, the operation is not likely to harm competition through vertical effects.</w:t>
      </w:r>
    </w:p>
    <w:p>
      <w:r>
        <w:t>C. ANALYSIS OF CONGLOMERATE EFFECTS</w:t>
      </w:r>
    </w:p>
    <w:p>
      <w:r>
        <w:t>35. A concentration is likely to have conglomerate effects when the new entity extends or strengthens its presence in markets that are connected to other markets in which it holds market power. Some conglomerate concentrations can indeed produce restrictive competition effects when they allow for the technical or commercial tying of the sales of the new entity's products in a way that locks the market and excludes competitors.</w:t>
      </w:r>
    </w:p>
    <w:p>
      <w:r>
        <w:t>36. However, the guidelines of the competition authority note that it is unlikely that a concentration will lead to a risk of conglomerate effect if the new entity does not have a strong position in a market from which it can leverage and refer, in this regard, to a threshold of 30% market share for assessing this position.</w:t>
      </w:r>
    </w:p>
    <w:p>
      <w:r>
        <w:t>37. In this case, considering the activities carried out by the parties, they could bundle several technical services within a single offer. However, in the market for the provision of technical services, there are many competitors8 and the market share of the new entity will be less than 30%, regardless of the segmentation retained9.</w:t>
      </w:r>
    </w:p>
    <w:p>
      <w:r>
        <w:t>38. Therefore, the operation is not likely to harm competition through conglomerate effects in these markets.</w:t>
      </w:r>
    </w:p>
    <w:p>
      <w:r>
        <w:rPr>
          <w:b/>
        </w:rPr>
        <w:t>[Pages 7–7]</w:t>
      </w:r>
    </w:p>
    <w:p>
      <w:r>
        <w:t>DECIDES</w:t>
      </w:r>
    </w:p>
    <w:p>
      <w:r>
        <w:t>Sole Article: The operation notified under number 18-160 is authorized.</w:t>
      </w:r>
    </w:p>
    <w:p>
      <w: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