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https://www.autoritedelaconcurrence.fr/fr/decision-de-controle-des-concentrations/relative-la-prise-de-controle-exclusif-de-la-societe-221</w:t>
      </w:r>
    </w:p>
    <w:p>
      <w:r>
        <w:t>Pages translated : 9</w:t>
      </w:r>
    </w:p>
    <w:p/>
    <w:p>
      <w:r>
        <w:rPr>
          <w:b/>
        </w:rPr>
        <w:t>[Pages 1–3]</w:t>
      </w:r>
    </w:p>
    <w:p>
      <w:r>
        <w:t xml:space="preserve">FRENCH REPUBLIC  </w:t>
        <w:br/>
        <w:t xml:space="preserve">Decision No. 19-DCC-195 of October 22, 2019  </w:t>
        <w:br/>
        <w:t xml:space="preserve">regarding the exclusive control of the  </w:t>
        <w:br/>
        <w:t xml:space="preserve">company Économie d’Énergie by the La Poste group  </w:t>
        <w:br/>
        <w:t xml:space="preserve">The Competition Authority,  </w:t>
        <w:br/>
        <w:t xml:space="preserve">Having regard to the notification file submitted in full to the concentrations service on  </w:t>
        <w:br/>
        <w:t xml:space="preserve">September 18, 2019, regarding the exclusive control of the company Économie d’Énergie by  </w:t>
        <w:br/>
        <w:t xml:space="preserve">the La Poste group, formalized by a share transfer agreement dated July 31, 2019;  </w:t>
        <w:br/>
        <w:t xml:space="preserve">Having regard to Book IV of the Commercial Code relating to the freedom of prices and  </w:t>
        <w:br/>
        <w:t xml:space="preserve">competition, and in particular its Articles L. 430-1 to L. 430-7;  </w:t>
        <w:br/>
        <w:t xml:space="preserve">Having regard to the supplementary elements transmitted by the notifying party during the  </w:t>
        <w:br/>
        <w:t xml:space="preserve">investigation;  </w:t>
        <w:br/>
        <w:t xml:space="preserve">Adopts the following decision:  </w:t>
        <w:br/>
        <w:t xml:space="preserve">I. The concerned companies and the operation  </w:t>
        <w:br/>
        <w:t xml:space="preserve">1. La Poste SA (hereinafter, "La Poste") is the historical operator in charge of the public postal  </w:t>
        <w:br/>
        <w:t xml:space="preserve">service in France. It holds several subsidiaries, which are organized around five main activities:  </w:t>
        <w:br/>
        <w:t xml:space="preserve">(i) the Service-Courrier-Colis branch which includes the universal mail service, mail for  </w:t>
        <w:br/>
        <w:t xml:space="preserve">businesses, and press logistics;  </w:t>
        <w:br/>
        <w:t xml:space="preserve">(ii) the GeoPost branch which includes express mail service activities;  </w:t>
        <w:br/>
        <w:t xml:space="preserve">(iii) the La Banque Postale branch which includes banking and insurance activities for  </w:t>
        <w:br/>
        <w:t xml:space="preserve">individuals, businesses, and local public entities;  </w:t>
        <w:br/>
        <w:t xml:space="preserve">(iv) the Réseau La Poste branch which includes the network of post offices; and  </w:t>
        <w:br/>
        <w:t xml:space="preserve">(v) the Digital branch.  </w:t>
        <w:br/>
        <w:t xml:space="preserve">2. La Poste has been pursuing a diversification strategy for several years, particularly in the  </w:t>
        <w:br/>
        <w:t xml:space="preserve">energy transition sector. In this context, its subsidiary La Poste Nouveaux Services is tasked  </w:t>
        <w:br/>
        <w:t xml:space="preserve">with developing new growth and diversification levers to contribute to the adaptation of the  </w:t>
        <w:br/>
        <w:t>economic model of the Service-Courrier-Colis branch.</w:t>
      </w:r>
    </w:p>
    <w:p>
      <w:r>
        <w:t xml:space="preserve">3. La Poste is, as of today, jointly controlled by the French State (73.68%) and by the Caisse  </w:t>
        <w:br/>
        <w:t xml:space="preserve">des dépôts et consignations (26.32%)1.  </w:t>
        <w:br/>
        <w:t xml:space="preserve">4. Économie d’Énergie (hereinafter, "EDE") is a company active in the energy efficiency sector,  </w:t>
        <w:br/>
        <w:t xml:space="preserve">controlled by the holding company Edenext, which is ultimately owned by Ms. Maestroni. The  </w:t>
        <w:br/>
        <w:t xml:space="preserve">main activity of EDE consists of designing and implementing digital solutions on behalf of  </w:t>
        <w:br/>
        <w:t xml:space="preserve">energy suppliers to encourage consumers to achieve energy savings. The solutions notably  </w:t>
        <w:br/>
        <w:t xml:space="preserve">include creating websites for awareness and information on energy efficiency works or  </w:t>
        <w:br/>
        <w:t xml:space="preserve">dedicated to promoting energy financing, as well as setting up online energy comparison tools.  </w:t>
        <w:br/>
        <w:t xml:space="preserve">EDE is present in France, the United Kingdom, Spain, and Italy.  </w:t>
        <w:br/>
        <w:t xml:space="preserve">5. The operation formalized by a share transfer agreement dated July 31, 2019 consists of the  </w:t>
        <w:br/>
        <w:t xml:space="preserve">acquisition by La Poste Nouveaux Services of 75% of the capital and voting rights of Edenext.  </w:t>
        <w:br/>
        <w:t xml:space="preserve">Unilateral promises of sale and purchase concerning the remaining capital of Edenext have  </w:t>
        <w:br/>
        <w:t xml:space="preserve">also been concluded.  </w:t>
        <w:br/>
        <w:t xml:space="preserve">6. Insofar as it results in the exclusive control of Edenext, and consequently of EDE, by La  </w:t>
        <w:br/>
        <w:t xml:space="preserve">Poste Nouveaux Services, the notified operation constitutes a concentration within the meaning  </w:t>
        <w:br/>
        <w:t xml:space="preserve">of Article L. 430-1 of the Commercial Code.  </w:t>
        <w:br/>
        <w:t xml:space="preserve">7. The concerned companies together achieve a total worldwide turnover of more than 150 million  </w:t>
        <w:br/>
        <w:t xml:space="preserve">euros (La Poste: 24.7 billion euros for the fiscal year ending December 31, 2018; EDE: [≤150]  </w:t>
        <w:br/>
        <w:t xml:space="preserve">million euros for the same fiscal year). Each of these companies achieves, in France, a  </w:t>
        <w:br/>
        <w:t xml:space="preserve">turnover exceeding 50 million euros (La Poste: [≥50 million] euros for the fiscal year ending  </w:t>
        <w:br/>
        <w:t xml:space="preserve">December 31, 2018; EDE: [≥50] million euros for the same fiscal year). Given these turnover  </w:t>
        <w:br/>
        <w:t xml:space="preserve">figures, the operation does not have a European dimension. On the other hand, the control  </w:t>
        <w:br/>
        <w:t xml:space="preserve">thresholds mentioned in I of Article L. 430-2 of the Commercial Code are exceeded. This  </w:t>
        <w:br/>
        <w:t xml:space="preserve">operation is therefore subject to the provisions of Articles L. 430-3 and following of the  </w:t>
        <w:br/>
        <w:t xml:space="preserve">Commercial Code, relating to economic concentration.  </w:t>
        <w:br/>
        <w:t xml:space="preserve">II. Delimitation of the relevant markets  </w:t>
        <w:br/>
        <w:t xml:space="preserve">8. EDE is primarily active in the markets for energy savings certificates (A) and energy  </w:t>
        <w:br/>
        <w:t xml:space="preserve">management services (B), which may have a connection with the activities of La Poste. EDE is  </w:t>
        <w:br/>
        <w:t xml:space="preserve">also active in the market for banking intermediation (C), which has a vertical link with the  </w:t>
        <w:br/>
        <w:t xml:space="preserve">banking services market (D) in which La Poste is active2.  </w:t>
        <w:br/>
        <w:t xml:space="preserve">1 Decision of the Authority No. 11-DCC-32 of February 22, 2011, regarding the joint control of the La Poste group by the Caisse des  </w:t>
        <w:br/>
        <w:t xml:space="preserve">Dépôts et Consignations and the French State.  </w:t>
        <w:br/>
        <w:t xml:space="preserve">2 The parties are also simultaneously active in the marketing and communication services markets. However, given their low combined market  </w:t>
        <w:br/>
        <w:t xml:space="preserve">share, which remains below 5%, regardless of the segmentation adopted, any risk of harm to competition through horizontal or vertical effects  </w:t>
        <w:br/>
        <w:t xml:space="preserve">can be ruled out in these markets, which will not be subject to detailed analysis in this decision.  </w:t>
        <w:br/>
        <w:t>2</w:t>
      </w:r>
    </w:p>
    <w:p>
      <w:r>
        <w:t xml:space="preserve">A. THE MARKET FOR ENERGY SAVINGS CERTIFICATES  </w:t>
        <w:br/>
        <w:t xml:space="preserve">1. PRODUCT MARKET  </w:t>
        <w:br/>
        <w:t xml:space="preserve">9. The European Commission has defined a market for energy savings certificates3.  </w:t>
        <w:br/>
        <w:t xml:space="preserve">10. The energy savings certificate ("CEE") system was established in France in 20064. It is based on  </w:t>
        <w:br/>
        <w:t xml:space="preserve">an obligation to achieve energy savings, imposed on energy suppliers (electricity, gas, heat,  </w:t>
        <w:br/>
        <w:t xml:space="preserve">cold, domestic fuel oil, and, since January 1, 2011, automotive fuels), referred to as "obligated  </w:t>
        <w:br/>
        <w:t xml:space="preserve">parties," who are thus encouraged to actively promote energy efficiency to their customers and,  </w:t>
        <w:br/>
        <w:t xml:space="preserve">more generally, to all energy consumers (households, public entities, businesses).  </w:t>
        <w:br/>
        <w:t xml:space="preserve">11. A multi-year objective is defined and allocated among operators based on their sales volumes.  </w:t>
        <w:br/>
        <w:t xml:space="preserve">At the end of the period, these obligated parties must justify the fulfillment of their obligations by  </w:t>
        <w:br/>
        <w:t xml:space="preserve">holding an amount of CEE equivalent to these obligations.  </w:t>
        <w:br/>
        <w:t xml:space="preserve">12. The CEEs are allocated, under certain conditions, by the services of the ministry responsible for  </w:t>
        <w:br/>
        <w:t xml:space="preserve">energy, to eligible actors (the "obligated parties," but also other legal entities) carrying out  </w:t>
        <w:br/>
        <w:t xml:space="preserve">energy-saving operations. These actions can be carried out in all sectors of activity (residential,  </w:t>
        <w:br/>
        <w:t xml:space="preserve">tertiary, industrial, agricultural, transport, etc.)5, on the assets of the eligible parties or with  </w:t>
        <w:br/>
        <w:t xml:space="preserve">third parties they have encouraged to achieve energy savings. The obligated parties also have  </w:t>
        <w:br/>
        <w:t xml:space="preserve">the option to purchase CEEs from other actors who have carried out energy-saving actions,  </w:t>
        <w:br/>
        <w:t xml:space="preserve">particularly non-obligated eligible parties. In case of non-compliance with their obligations, the  </w:t>
        <w:br/>
        <w:t xml:space="preserve">obligated parties are required to pay a release penalty.  </w:t>
        <w:br/>
        <w:t xml:space="preserve">13. The functioning of the CEE system can be summarized with the following diagram6:  </w:t>
        <w:br/>
        <w:t xml:space="preserve">3 Decision of the Commission COMP/M.7137 - EDF/Dalkia of June 25, 2014, points 154 to 158.  </w:t>
        <w:br/>
        <w:t xml:space="preserve">4 The energy savings certificate (CEE) system, created by Articles 14 to 17 of Law No. 2005-781 of July 13, 2005, setting the  </w:t>
        <w:br/>
        <w:t xml:space="preserve">orientations of energy policy (POPE Law).  </w:t>
        <w:br/>
        <w:t xml:space="preserve">5 The catalog of standardized operations eligible for the CEE system is available on the website of the Agency for the Environment and  </w:t>
        <w:br/>
        <w:t xml:space="preserve">Energy Management at the following address: http://calculateur-cee.ademe.fr/user/fiches/AGRI.  </w:t>
        <w:br/>
        <w:t xml:space="preserve">6 Created from a diagram from the website: quelleenergie.com.  </w:t>
        <w:br/>
        <w:t>3</w:t>
      </w:r>
    </w:p>
    <w:p>
      <w:r>
        <w:rPr>
          <w:b/>
        </w:rPr>
        <w:t>[Pages 4–6]</w:t>
      </w:r>
    </w:p>
    <w:p>
      <w:r>
        <w:t xml:space="preserve">14. In this case, the competitive analysis will be conducted on the CEE market.  </w:t>
        <w:br/>
        <w:t xml:space="preserve">2. GEOGRAPHIC MARKET  </w:t>
        <w:br/>
        <w:t xml:space="preserve">15. The European Commission has considered that the CEE market is of national scope, on the grounds that they have been established by national authorities, that they are based on an obligation to achieve energy savings imposed at the national level, and that they can only be obtained within this framework in France7.  </w:t>
        <w:br/>
        <w:t xml:space="preserve">16. In this case, the competitive analysis will be conducted at the national level.  </w:t>
        <w:br/>
        <w:t xml:space="preserve">B. ENERGY MANAGEMENT SERVICES MARKETS  </w:t>
        <w:br/>
        <w:t xml:space="preserve">1. SERVICE MARKETS  </w:t>
        <w:br/>
        <w:t xml:space="preserve">17. Competition authorities have defined the energy management services market as including activities such as consulting on reducing energy consumption, the implementation of energy management systems, assistance in energy supply, and the management and maintenance of equipment related to clients' energy consumption, with the aim of reducing energy consumption8.  </w:t>
        <w:br/>
        <w:t xml:space="preserve">18. The European Commission has specified that consulting activities on reducing energy consumption could, for example, include those concerning a change of energy supplier in order to reduce clients' energy consumption9.  </w:t>
        <w:br/>
        <w:t xml:space="preserve">19. The notifying party considers that an energy brokerage market, distinct from the energy management services market, could also be defined. This would be a market where, on the supply side, intermediaries providing energy brokerage services meet, and on the demand side, energy suppliers wishing to find new clients.  </w:t>
        <w:br/>
        <w:t xml:space="preserve">20. In this case, the question of the exact delineation of these markets can be left open, as the conclusions of the competitive analysis remain unchanged, regardless of the segmentation retained.  </w:t>
        <w:br/>
        <w:t xml:space="preserve">7 Commission Decision COMP/M.7137 - EDF/Dalkia of June 25, 2014, paragraph 160.  </w:t>
        <w:br/>
        <w:t xml:space="preserve">8 Commission Decisions COMP/M.6020 – ACS/HOCHTIEF of January 14, 2011, COMP/M.7137 - EDF/Dalkia in France of June 25, 2014, paragraph 80, as well as the decisions of the Authority No. 17-DCC-225 of December 22, 2017, regarding the exclusive control of MCI by Axima Concept, No. 17-DCC-90 of June 21, 2017, regarding the creation of a joint venture by the La Poste group and the Caisse des Dépôts et Consignations, No. 15-DCC-148 of November 12, 2015, regarding the exclusive control of Financière Syclef by Latour Capital, No. 15-DCC-86 of July 8, 2015, regarding the exclusive control of CRAM by Dalbia SA, No. 15-DCC-72 of June 18, 2015, regarding the exclusive control of Altergis SAS by Veolia Environnement SA, No. 15-DCC-09 of February 12, 2015, regarding the exclusive control of JF Cesbron SAS by Dalkia SA, No. 11-DCC-140 of September 23, 2011, regarding the exclusive control by Cube Energy SCA of Idex groupe SAS.  </w:t>
        <w:br/>
        <w:t xml:space="preserve">9 Referenced Decision COMP/M.6020, paragraphs 18-19.  </w:t>
        <w:br/>
        <w:t xml:space="preserve">2. GEOGRAPHIC MARKET  </w:t>
        <w:br/>
        <w:t xml:space="preserve">21. Competition authorities consider that the energy management service markets have a national delineation10.  </w:t>
        <w:br/>
        <w:t xml:space="preserve">22. The notifying party considers that the energy brokerage market is also of national scope, due to the diversity of national regulatory systems that exist in energy matters in Europe.  </w:t>
        <w:br/>
        <w:t xml:space="preserve">23. In this case, the competitive analysis will be conducted at the national level.  </w:t>
        <w:br/>
        <w:t xml:space="preserve">C. THE MARKET FOR BANKING INTERMEDIATION  </w:t>
        <w:br/>
        <w:t xml:space="preserve">1. SERVICE MARKET  </w:t>
        <w:br/>
        <w:t xml:space="preserve">24. The Competition Authority considers that the activity of intermediaries in banking operations, such as brokers in real estate financing products, could be distinguished from the activity of the banks themselves11. It has therefore considered the existence of a market for banking intermediation, distinct from the market for the provision of banking services.  </w:t>
        <w:br/>
        <w:t xml:space="preserve">25. This market can be segmented based on the type of banking services distributed and the type of clients12. The existence of a market for the distribution of real estate financing products (mortgage credit products and consumer credit products used either for financing security deposits for properties distributed by a property management network or for financing works in condominiums) aimed at individual clients has thus been considered.  </w:t>
        <w:br/>
        <w:t xml:space="preserve">26. In this case, there is no need to challenge these market delineations.  </w:t>
        <w:br/>
        <w:t xml:space="preserve">2. GEOGRAPHIC MARKET  </w:t>
        <w:br/>
        <w:t xml:space="preserve">27. The Authority considers that the markets for banking intermediation are of national scope13.  </w:t>
        <w:br/>
        <w:t xml:space="preserve">28. In this case, there is no need to challenge this market delineation.  </w:t>
        <w:br/>
        <w:t xml:space="preserve">10 See the referenced decisions.  </w:t>
        <w:br/>
        <w:t xml:space="preserve">11 Decisions of the Authority No. 10-DCC-116 of September 10, 2010, regarding the exclusive control of Société Marseillaise de Crédit by the Société Générale-Crédit du Nord group, No. 15-DCC-105 of August 12, 2015, regarding the joint control of Primonial Holding by Crédit Mutuel Arkéa, Primonial Management, Blackfin, and Latour Capital, and No. 09-DCC-16 of June 22, 2009, regarding the merger between the Caisse d’Epargne and Banque Populaire groups.  </w:t>
        <w:br/>
        <w:t xml:space="preserve">12 Ibid.  </w:t>
        <w:br/>
        <w:t xml:space="preserve">13 Ibid.  </w:t>
        <w:br/>
        <w:t xml:space="preserve">D. RETAIL BANKING MARKETS  </w:t>
        <w:br/>
        <w:t xml:space="preserve">1. SERVICE MARKET  </w:t>
        <w:br/>
        <w:t xml:space="preserve">29. Retail banking encompasses banking services aimed at individuals and households. According to the decision-making practice of the Authority, entrepreneurs can also be considered as retail banking clients, insofar as their needs are closer to those of individuals than those of commercial companies14.  </w:t>
        <w:br/>
        <w:t xml:space="preserve">30. Several markets have been distinguished: (i) demand deposits, (ii) banking savings (notably savings bonds and accounts not immediately available such as term accounts), (iii) off-balance sheet savings (Variable Capital Investment Companies, Mutual Funds, and pension funds), (iv) mortgage credit, (v) consumer credit, (vi) debt restructuring credit, (vii) issuance of payment cards (issuance for clients), (viii) private banking, and (ix) securities custody15.  </w:t>
        <w:br/>
        <w:t xml:space="preserve">31. In this case, there is no need to challenge these market delineations.  </w:t>
        <w:br/>
        <w:t xml:space="preserve">2. GEOGRAPHIC MARKET  </w:t>
        <w:br/>
        <w:t xml:space="preserve">32. The Authority generally considers that retail banking markets are at most of national scope, despite some European harmonization16.  </w:t>
        <w:br/>
        <w:t xml:space="preserve">33. Regarding banking services for individuals, it has also considered that the proximity offered by physical branches, notably the presence of advisors, is an important factor in competitive dynamics, as these activities are primarily relational to date17. It has also emphasized that competitive conditions in the metropolitan territory are not homogeneous, particularly given the significant role played by mutual and cooperative networks in the French banking system, differences in the establishment of banking groups, the adaptation of commercial strategies to the local competitive context, and the existence of regional banking brands. The competitive analysis has thus been conducted both at the national and local levels, with the practice having retained, for the latter level, isochrone areas with a radius corresponding to a travel time of about twenty minutes by car around the municipality where the target bank branch is located.  </w:t>
        <w:br/>
        <w:t xml:space="preserve">34. In this case, there is no need to challenge these market delineations.  </w:t>
        <w:br/>
        <w:t xml:space="preserve">14 Referenced Decision No. 09-DCC-16.  </w:t>
        <w:br/>
        <w:t xml:space="preserve">15 Referenced Decision No. 09-DCC-16 and the decisions of the Authority No. 10-DCC-116 of September 10, 2010, regarding the exclusive control of Société Marseillaise de Crédit by the Société Générale-Crédit du Nord group, and No. 15-DCC-105 of August 12, 2015, regarding the joint control of Primonial Holding by Crédit Mutuel Arkéa, Primonial Management, Blackfin, and Latour Capital.  </w:t>
        <w:br/>
        <w:t xml:space="preserve">16 Ibid.  </w:t>
        <w:br/>
        <w:t>17 Ibid.</w:t>
      </w:r>
    </w:p>
    <w:p>
      <w:r>
        <w:rPr>
          <w:b/>
        </w:rPr>
        <w:t>[Pages 7–9]</w:t>
      </w:r>
    </w:p>
    <w:p>
      <w:r>
        <w:t xml:space="preserve">III. Competitive Analysis  </w:t>
        <w:br/>
        <w:t xml:space="preserve">A. VERTICAL EFFECTS  </w:t>
        <w:br/>
        <w:t xml:space="preserve">35. A vertical concentration can restrict competition by making access to the markets in which the new entity will operate more difficult,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considers that a risk of vertical effect can be ruled out as long as the market share of the entity resulting from the operation in the relevant markets does not exceed 30%.  </w:t>
        <w:br/>
        <w:t xml:space="preserve">36. In this case, the La Poste group, through its subsidiary La Banque Postale, is active in the banking services market, which has a vertical link with EDE's banking intermediation activities.  </w:t>
        <w:br/>
        <w:t xml:space="preserve">37. However, according to estimates provided by the notifying party, La Banque Postale's market share is [5-10]% in the national retail banking market, and EDE's share is less than 1% in the national banking intermediation market. The parties also face numerous competitors in these markets at the national level.  </w:t>
        <w:br/>
        <w:t xml:space="preserve">38. If, in local markets for banking services to individuals, La Banque Postale may hold a high market share, the risks of eviction of competing banking agencies in each of these areas can be ruled out, as they have many alternatives to EDE in the banking intermediation market, which is of national scope.  </w:t>
        <w:br/>
        <w:t xml:space="preserve">39. Regarding the risks of eviction of competing banking intermediaries of EDE, they can also be ruled out as La Banque Postale does not constitute an essential outlet given its national market share, which is below 10%.  </w:t>
        <w:br/>
        <w:t xml:space="preserve">40. Therefore, without the need to deepen the analysis, given the limited market shares of the parties, the operation is not likely to harm competition in these markets through vertical effects.  </w:t>
        <w:br/>
        <w:t xml:space="preserve">B. CONGLOMERATE EFFECTS  </w:t>
        <w:br/>
        <w:t xml:space="preserve">41. A concentration has conglomerate effects when the new entity extends or strengthens its presence in several markets whose connection may allow it to increase its market power. The guidelines of the Competition Authority, however, note that it is unlikely that a concentration will lead to a risk of conglomerate effect if the new entity does not benefit from a strong position in a market from which it can leverage an effect and refer, in this regard, to a threshold of 30% market share for assessing this market position.  </w:t>
        <w:br/>
        <w:t xml:space="preserve">42. In this case, EDE is active as a "delegate"18 in the CEE market, which has connections with the activities of the La Poste group. Indeed, following the operation, EDE could be entrusted with the entire volume of CEEs generated by the La Poste group through its energy-saving activities.  </w:t>
        <w:br/>
        <w:t xml:space="preserve">43. The La Poste group is likely to carry out energy-saving activities eligible for the CEE scheme (renovation works of its real estate portfolio through its subsidiary Poste Immo, promotion of energy financing products through its subsidiary La Banque Postale, etc.). The La Poste group enters into partnerships with eligible entities so that they collect and value the CEEs in exchange for financial remuneration.  </w:t>
        <w:br/>
        <w:t xml:space="preserve">44. However, the volume of CEEs generated by the La Poste group is marginal according to estimates provided by the notifying party, and EDE's market share is below [10-20]% in the CEE market.  </w:t>
        <w:br/>
        <w:t xml:space="preserve">45. Furthermore, it is worth questioning the effect of a potential non-replicable advantage of the La Poste group related to the network of post offices as well as its mail distribution activities19 on the energy management services market.  </w:t>
        <w:br/>
        <w:t xml:space="preserve">46. EDE offers digital platforms to encourage consumers to switch energy suppliers in order to reduce their energy consumption. The La Poste group could use its means (access to mailboxes, post offices) to promote EDE's offer to its customers or bundle this offer with existing energy reduction services for individuals.  </w:t>
        <w:br/>
        <w:t xml:space="preserve">47. However, the La Poste group's network does not seem essential for the development of this activity given that platforms, such as those offered by EDE, are primarily active online.  </w:t>
        <w:br/>
        <w:t xml:space="preserve">48. In any case, EDE has, according to its estimates, a market share of less than 1% in the energy management services market.  </w:t>
        <w:br/>
        <w:t xml:space="preserve">49. Therefore, the operation is not likely to harm competition in these markets through conglomerate effects.  </w:t>
        <w:br/>
        <w:t xml:space="preserve">18 Obligated parties may choose to delegate, partially or entirely, their obligation to a third-party structure, called a delegate, which becomes obligated in place of the delegating party and has the same rights and obligations as an obligated party (source: ADEME).  </w:t>
        <w:br/>
        <w:t>19 Decisions of the Authority No. 14-DCC-160 of October 30, 2014, regarding the exclusive control of SFR by the Altice group and No. 17-DCC-74 of June 1, 2017, regarding the exclusive control of Asten Santé by La Poste Silver.</w:t>
      </w:r>
    </w:p>
    <w:p>
      <w:r>
        <w:t xml:space="preserve">DECIDES  </w:t>
        <w:br/>
        <w:t xml:space="preserve">Sole Article: The operation notified under number 19-225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