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https://www.autoritedelaconcurrence.fr/fr/decision-de-controle-des-concentrations/relative-la-prise-de-controle-exclusif-de-la-societe-224</w:t>
      </w:r>
    </w:p>
    <w:p>
      <w:r>
        <w:t>Pages translated : 2</w:t>
      </w:r>
    </w:p>
    <w:p/>
    <w:p>
      <w:r>
        <w:rPr>
          <w:b/>
        </w:rPr>
        <w:t>[Pages 1–2]</w:t>
      </w:r>
    </w:p>
    <w:p>
      <w:r>
        <w:t xml:space="preserve">FRENCH REPUBLIC  </w:t>
        <w:br/>
        <w:t xml:space="preserve">Decision No. 18-DCC-206 of December 5, 2018  </w:t>
        <w:br/>
        <w:t xml:space="preserve">regarding the exclusive control acquisition of the company Lhermite Automobiles Chartres by the Dubreuil group  </w:t>
        <w:br/>
        <w:t xml:space="preserve">The Competition Authority,  </w:t>
        <w:br/>
        <w:t xml:space="preserve">Having regard to the complete notification file sent to the mergers department on November 8, 2018, concerning the exclusive control acquisition of the company Lhermite Automobiles Chartres by the Dubreuil group, and formalized by a letter of intent signed on October 8, 2018;  </w:t>
        <w:br/>
        <w:t xml:space="preserve">Having regard to Book IV of the Commercial Code relating to the freedom of prices and competition, and in particular its Articles L. 430-1 to L. 430-7;  </w:t>
        <w:br/>
        <w:t xml:space="preserve">Having regard to the elements transmitted during the investigation by the notifying party;  </w:t>
        <w:br/>
        <w:t xml:space="preserve">Adopts the following decision:  </w:t>
        <w:br/>
        <w:t xml:space="preserve">1. The notified operation consists of the exclusive control acquisition by the Dubreuil group of the company Lhermite Automobiles Chartres, which operates two Citroën car dealerships in the department of Eure-et-Loir (28). It constitutes a concentration operation within the meaning of Article L. 430-1 of the Commercial Code. Given the turnover achieved by the companies concerned, the operation does not fall under the jurisdiction of the European Union. On the other hand, the retail trade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18-262 is authorized.  </w:t>
        <w:br/>
        <w:t xml:space="preserve">The Vice-President,  </w:t>
        <w:br/>
        <w:t xml:space="preserve">Élisabeth Flüry-Hérard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