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18-DCC-209 of December 7, 2018  </w:t>
        <w:br/>
        <w:t xml:space="preserve">regarding the exclusive control acquisition of the company Sycomore Factory  </w:t>
        <w:br/>
        <w:t xml:space="preserve">by the Generali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12, 2018, concerning the exclusive control acquisition of the company Sycomore Factory by the  </w:t>
        <w:br/>
        <w:t xml:space="preserve">Generali group, formalized by a firm offer letter dated August 10,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Generali Investments holding S.p.A,  </w:t>
        <w:br/>
        <w:t xml:space="preserve">a subsidiary of the Generali group, of exclusive control of the company Sycomore Factory. It constitutes  </w:t>
        <w:br/>
        <w:t xml:space="preserve">a 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markets concerned by the operation are the markets for asset management and  </w:t>
        <w:br/>
        <w:t xml:space="preserve">the distribution of insurance products, which are consistently defined by the decision-making practice  </w:t>
        <w:br/>
        <w:t xml:space="preserve">of the Competition Authority.  </w:t>
        <w:br/>
        <w:t xml:space="preserve">3. Regardless of the segmentations retained, the cumulative market shares of the parties are  </w:t>
        <w:br/>
        <w:t xml:space="preserve">below 25% when their activities overlap in the same market and below 30% when  </w:t>
        <w:br/>
        <w:t xml:space="preserve">their activities are located in markets that have a vertical link between them.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18-234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