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https://www.autoritedelaconcurrence.fr/fr/decision-de-controle-des-concentrations/relative-la-prise-de-controle-exclusif-de-la-societe-226</w:t>
      </w:r>
    </w:p>
    <w:p>
      <w:r>
        <w:t>Pages translated : 2</w:t>
      </w:r>
    </w:p>
    <w:p/>
    <w:p>
      <w:r>
        <w:rPr>
          <w:b/>
        </w:rPr>
        <w:t>[Pages 1–2]</w:t>
      </w:r>
    </w:p>
    <w:p>
      <w:r>
        <w:t xml:space="preserve">FRENCH REPUBLIC  </w:t>
        <w:br/>
        <w:t xml:space="preserve">Decision No. 18-DCC-216 of December 12, 2018  </w:t>
        <w:br/>
        <w:t xml:space="preserve">regarding the acquisition of exclusive control of the company Vacances Héliades  </w:t>
        <w:br/>
        <w:t xml:space="preserve">by the company Marietton Développement  </w:t>
        <w:br/>
        <w:t>The Competition Authority,</w:t>
      </w:r>
    </w:p>
    <w:p>
      <w:r>
        <w:t>Having regard to the complete notification file submitted to the mergers department on November 20, 2018, concerning the acquisition of exclusive control of the company Vacances Héliades by the company Marietton Développement, formalized by an acquisition contract signed on November 2, 2018;</w:t>
      </w:r>
    </w:p>
    <w:p>
      <w:r>
        <w:t>Having regard to Book IV of the Commercial Code relating to the freedom of prices and competition, and in particular its Articles L. 430-1 to L. 430-7;</w:t>
      </w:r>
    </w:p>
    <w:p>
      <w:r>
        <w:t>Having regard to the additional elements provided by the notifying party during the investigation;</w:t>
      </w:r>
    </w:p>
    <w:p>
      <w:r>
        <w:t xml:space="preserve">Adopts the following decision:  </w:t>
        <w:br/>
        <w:t xml:space="preserve">1. The notified operation consists of the acquisition of exclusive control of the company Vacances Héliades by the company Marietton Développement. It constitutes a concentration within the meaning of Article L. 430-1 of the Commercial Code. Given the turnover achieved by the companies concerned, the notification thresholds of Article 1 paragraph 2 of Regulation (EC) 139/2004 are not exceeded. The operation therefore does not fall under the jurisdiction of the European Union. On the other hand, the control thresholds mentioned in I of Article L. 430-2 of the Commercial Code are exceeded. The present operation is therefore subject to the provisions of Articles L. 430-3 and following of the Commercial Code relating to economic concentration.  </w:t>
        <w:br/>
        <w:t xml:space="preserve">2. The markets concerned by the operation are the markets for the supply of air transport capacity and hotel overnight stays, the market for the design and sale of package holidays, and the market for travel agency services, which are consistently defined by the decision-making practice of the Competition Authority.  </w:t>
        <w:br/>
        <w:t xml:space="preserve">3. Regardless of the segmentations retained, the combined market shares of the parties are below 25%.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18-261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