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https://www.autoritedelaconcurrence.fr/fr/decision-de-controle-des-concentrations/relative-la-prise-de-controle-exclusif-de-la-societe-227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18-DCC-22 of February 9, 2018  </w:t>
        <w:br/>
        <w:t xml:space="preserve">regarding the exclusive control acquisition  </w:t>
        <w:br/>
        <w:t>of Groupe C2S by the Eurazeo group</w:t>
      </w:r>
    </w:p>
    <w:p>
      <w:r>
        <w:t>The Competition Authority,</w:t>
      </w:r>
    </w:p>
    <w:p>
      <w:r>
        <w:t xml:space="preserve">Having regard to the complete notification file sent to the mergers department on January 15, 2018,  </w:t>
        <w:br/>
        <w:t xml:space="preserve">concerning the exclusive control acquisition of Groupe C2S by the Eurazeo group, formalized  </w:t>
        <w:br/>
        <w:t>by a transfer agreement dated January 15, 2018;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additional elements provided by the notifying party during the investigation;</w:t>
      </w:r>
    </w:p>
    <w:p>
      <w:r>
        <w:t>Adopts the following decision:</w:t>
      </w:r>
    </w:p>
    <w:p>
      <w:r>
        <w:t xml:space="preserve">The notified operation consists of the exclusive control acquisition of Groupe C2S by the  </w:t>
        <w:br/>
        <w:t xml:space="preserve">Eurazeo group. It constitutes a concentration operation within the meaning of Article L. 430-1 of the  </w:t>
        <w:br/>
        <w:t xml:space="preserve">Commercial Code. Given the turnover achieved by the concerned companies, the operation does not fall  </w:t>
        <w:br/>
        <w:t xml:space="preserve">under the jurisdiction of the European Union. On the other hand, the control thresholds mentioned in I of  </w:t>
        <w:br/>
        <w:t xml:space="preserve">Article L. 430-2 of the Commercial Code are exceeded. This operation is therefore subject to the  </w:t>
        <w:br/>
        <w:t>provisions of Articles L. 430-3 and following of the Commercial Code relating to economic concentration.</w:t>
      </w:r>
    </w:p>
    <w:p>
      <w:r>
        <w:t xml:space="preserve">The markets concerned by the operation are the markets for the supply of medical equipment and  </w:t>
        <w:br/>
        <w:t xml:space="preserve">the provision of diagnostics and care, which are consistently defined by the decision-making practice of  </w:t>
        <w:br/>
        <w:t>the Competition Authority.</w:t>
      </w:r>
    </w:p>
    <w:p>
      <w:r>
        <w:t xml:space="preserve">Regardless of the segmentations retained, the estimated market shares of the new entity are below 25%.  </w:t>
        <w:br/>
        <w:t xml:space="preserve">Given the elements of the file and in particular in light of point 384 of the guidelines of the  </w:t>
        <w:br/>
        <w:t xml:space="preserve">Competition Authority relating to the control of concentrations, the operation is not likely to harm  </w:t>
        <w:br/>
        <w:t>competition.</w:t>
      </w:r>
    </w:p>
    <w:p>
      <w:r>
        <w:t xml:space="preserve">DECIDES  </w:t>
        <w:br/>
        <w:t xml:space="preserve">Single Article: The notified operation under number 17-281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