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https://www.autoritedelaconcurrence.fr/fr/decision-de-controle-des-concentrations/relative-la-prise-de-controle-exclusif-de-la-societe-230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18-DCC-33 of March 6, 2018  </w:t>
        <w:br/>
        <w:t xml:space="preserve">regarding the exclusive control acquisition of the company Compagnie  </w:t>
        <w:br/>
        <w:t xml:space="preserve">Manufacturière d’Aménagements Intérieurs by Intermediate Capital  </w:t>
        <w:br/>
        <w:t xml:space="preserve">Group PLC  </w:t>
        <w:br/>
        <w:t xml:space="preserve">The Competition Authority,  </w:t>
        <w:br/>
        <w:t xml:space="preserve">Having regard to the complete notification file submitted to the mergers department on February 2, 2018,  </w:t>
        <w:br/>
        <w:t xml:space="preserve">concerning the acquisition by Intermediate Capital Group PLC of exclusive control over the company  </w:t>
        <w:br/>
        <w:t xml:space="preserve">Compagnie Manufacturière d’Aménagements Intérieurs and its subsidiaries, formalized by a share transfer  </w:t>
        <w:br/>
        <w:t xml:space="preserve">agreement signed by the parties on February 1,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of the company Compagnie  </w:t>
        <w:br/>
        <w:t xml:space="preserve">Manufacturière d’Aménagements Intérieurs, the parent holding company of the Sogal Group, which is engaged in  </w:t>
        <w:br/>
        <w:t xml:space="preserve">the production and marketing of custom furniture, by the company Intermediate Capital Group PLC. This operation  </w:t>
        <w:br/>
        <w:t xml:space="preserve">constitutes a concentration operation within the meaning of Article L. 430-1 of the Commercial Code. Given the  </w:t>
        <w:br/>
        <w:t xml:space="preserve">turnover achieved by the concerned companies, the operation does not fall under the jurisdiction of the  </w:t>
        <w:br/>
        <w:t xml:space="preserve">European Union. On the other hand, the control thresholds relating to I of Article L. 430-2 of the Commercial  </w:t>
        <w:br/>
        <w:t xml:space="preserve">Code are exceeded. This operation is therefore subject to the provisions of Articles L. 430-3 and following of  </w:t>
        <w:br/>
        <w:t xml:space="preserve">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18-005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