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https://www.autoritedelaconcurrence.fr/fr/decision-de-controle-des-concentrations/relative-la-prise-de-controle-exclusif-de-la-societe-231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18-DCC-39 of March 16, 2018  </w:t>
        <w:br/>
        <w:t xml:space="preserve">regarding the exclusive control acquisition of Société commerciale de  </w:t>
        <w:br/>
        <w:t xml:space="preserve">Bioux SAS by Société d’exploitation Amidis et compagnie SAS  </w:t>
        <w:br/>
        <w:t xml:space="preserve">(Carrefour group)  </w:t>
        <w:br/>
        <w:t xml:space="preserve">The Competition Authority,  </w:t>
        <w:br/>
        <w:t xml:space="preserve">Having regard to the complete notification file submitted to the mergers department on February 13, 2018,  </w:t>
        <w:br/>
        <w:t xml:space="preserve">concerning the exclusive control acquisition of Société commerciale de Bioux SAS by Société  </w:t>
        <w:br/>
        <w:t xml:space="preserve">d’exploitation Amidis et compagnie SAS and formalized by a unilateral purchase promise  </w:t>
        <w:br/>
        <w:t xml:space="preserve">dated February 9,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Société commerciale de  </w:t>
        <w:br/>
        <w:t xml:space="preserve">Bioux SAS, which operates a food-dominant retail outlet of hypermarket type with a surface area of 2,500m² under the Carrefour Market brand located in Charnay-Lès-Mâcon (71),  </w:t>
        <w:br/>
        <w:t xml:space="preserve">by Société d’exploitation Amidis et compagnie SAS also active in food distribution. This operation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retail control thresholds mentioned in point II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18-027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