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https://www.autoritedelaconcurrence.fr/fr/decision-de-controle-des-concentrations/relative-la-prise-de-controle-exclusif-de-la-societe-232</w:t>
      </w:r>
    </w:p>
    <w:p>
      <w:r>
        <w:t>Pages translated : 2</w:t>
      </w:r>
    </w:p>
    <w:p/>
    <w:p>
      <w:r>
        <w:rPr>
          <w:b/>
        </w:rPr>
        <w:t>[Pages 1–2]</w:t>
      </w:r>
    </w:p>
    <w:p>
      <w:r>
        <w:t xml:space="preserve">FRENCH REPUBLIC  </w:t>
        <w:br/>
        <w:t xml:space="preserve">Decision No. 18-DCC-42 of March 23, 2018  </w:t>
        <w:br/>
        <w:t xml:space="preserve">regarding the exclusive control acquisition of the company  </w:t>
        <w:br/>
        <w:t xml:space="preserve">Idinvest Partners SA by the company Eurazeo  </w:t>
        <w:br/>
        <w:t xml:space="preserve">The Competition Authority,  </w:t>
        <w:br/>
        <w:t xml:space="preserve">Having regard to the complete notification file sent to the mergers department on February 22, 2018,  </w:t>
        <w:br/>
        <w:t xml:space="preserve">concerning the exclusive control acquisition of the company Idinvest Partners SA by the company Eurazeo,  </w:t>
        <w:br/>
        <w:t xml:space="preserve">formalized by a transfer contract dated February 5, 2018;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Eurazeo of exclusive control of the  </w:t>
        <w:br/>
        <w:t xml:space="preserve">company Idinvest Partners SA. It constitutes a concentration within the meaning of Article L. 430-1 of the  </w:t>
        <w:br/>
        <w:t xml:space="preserve">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those of asset management, as well as the production and distribution of chemical products, which are consistently defined by the decision-making practice of the Competition Authority.  </w:t>
        <w:br/>
        <w:t xml:space="preserve">3. Regardless of the segmentations retained, the estimated market shares of the parties are below 25%.  </w:t>
        <w:b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18-020 is authorized.  </w:t>
        <w:br/>
        <w:t xml:space="preserve">The Vice-President,  </w:t>
        <w:br/>
        <w:t xml:space="preserve">Élisabeth Flüry-Hérard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