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https://www.autoritedelaconcurrence.fr/fr/decision-de-controle-des-concentrations/relative-la-prise-de-controle-exclusif-de-la-societe-233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18-DCC-47 of March 30, 2018  </w:t>
        <w:br/>
        <w:t xml:space="preserve">regarding the exclusive control acquisition of the company PASNAT SAS by  </w:t>
        <w:br/>
        <w:t xml:space="preserve">the company ITM Alimentaire Est SAS  </w:t>
        <w:br/>
        <w:t xml:space="preserve">The Competition Authority,  </w:t>
        <w:br/>
        <w:t xml:space="preserve">Having regard to the complete notification file submitted to the mergers department on March 5, 2018,  </w:t>
        <w:br/>
        <w:t xml:space="preserve">concerning the exclusive control acquisition of the company PASNAT SAS by the company ITM Alimentaire  </w:t>
        <w:br/>
        <w:t xml:space="preserve">Est SAS, and formalized by a share transfer agreement dated  </w:t>
        <w:br/>
        <w:t xml:space="preserve">February 13,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 </w:t>
        <w:br/>
        <w:t xml:space="preserve">ITM Entreprises Est SAS of the company PASNAT SAS, which operates a food-dominant retail outlet of hypermarket type with a surface area of 3069 m² under the Intermarché brand and located in Longwy (54).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related to retail trade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18-048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