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https://www.autoritedelaconcurrence.fr/fr/decision-de-controle-des-concentrations/relative-la-prise-de-controle-exclusif-de-la-societe-234</w:t>
      </w:r>
    </w:p>
    <w:p>
      <w:r>
        <w:t>Pages translated : 10</w:t>
      </w:r>
    </w:p>
    <w:p/>
    <w:p>
      <w:r>
        <w:rPr>
          <w:b/>
        </w:rPr>
        <w:t>[Pages 1–3]</w:t>
      </w:r>
    </w:p>
    <w:p>
      <w:r>
        <w:t xml:space="preserve">FRENCH REPUBLIC  </w:t>
        <w:br/>
        <w:t xml:space="preserve">Decision No. 18-DCC-50 of April 20, 2018  </w:t>
        <w:br/>
        <w:t xml:space="preserve">regarding the exclusive control of the company Sarenza SA by the  </w:t>
        <w:br/>
        <w:t xml:space="preserve">company Monoprix SAS (Casino group)  </w:t>
        <w:br/>
        <w:t xml:space="preserve">The Competition Authority,  </w:t>
        <w:br/>
        <w:t xml:space="preserve">Having regard to the notification file submitted in full to the merger service on March 16, 2018,  </w:t>
        <w:br/>
        <w:t xml:space="preserve">regarding the exclusive control of the company Sarenza SA by the company Monoprix SAS,  </w:t>
        <w:br/>
        <w:t xml:space="preserve">formalized by an acquisition agreement dated March 5, 2018;  </w:t>
        <w:br/>
        <w:t xml:space="preserve">Having regard to Book IV of the Commercial Code relating to price and competition freedom, and  </w:t>
        <w:br/>
        <w:t xml:space="preserve">notably its Articles L. 430-1 to L. 430-7;  </w:t>
        <w:br/>
        <w:t xml:space="preserve">Having regard to the supplementary elements transmitted by the notifying party during the investigation;  </w:t>
        <w:br/>
        <w:t xml:space="preserve">Adopts the following decision:  </w:t>
        <w:br/>
        <w:t xml:space="preserve">I. The concerned companies and the operation  </w:t>
        <w:br/>
        <w:t xml:space="preserve">1. The company Monoprix SAS (hereinafter "Monoprix") heads the Monoprix group,  </w:t>
        <w:br/>
        <w:t xml:space="preserve">mainly active in the retail distribution sector predominantly focused on food in  </w:t>
        <w:br/>
        <w:t xml:space="preserve">France. It operates more than 640 stores and two online commerce sites, monoprix.fr and  </w:t>
        <w:br/>
        <w:t xml:space="preserve">monshowroom.com, through its wholly-owned subsidiary, E-Trend. Monoprix is owned by the  </w:t>
        <w:br/>
        <w:t xml:space="preserve">company Casino, Guichard-Perrachon (hereinafter "Casino"), which leads the Casino and  </w:t>
        <w:br/>
        <w:t xml:space="preserve">GO Sport groups. Casino is ultimately controlled by the company Euris, which is itself controlled by  </w:t>
        <w:br/>
        <w:t xml:space="preserve">Mr. Jean-Claude Naouri. As of December 31, 2016, the Casino group manages in France a network of  </w:t>
        <w:br/>
        <w:t xml:space="preserve">9,855 stores covering all formats of food retail1. It is also present in online commerce, notably with the  </w:t>
        <w:br/>
        <w:t xml:space="preserve">website www.cdiscount.com. The GO Sport group is active in the retail distribution of  </w:t>
        <w:br/>
        <w:t xml:space="preserve">sports articles, through its subsidiaries GO Sport, GO Sport Montagne, Courir, and  </w:t>
        <w:br/>
        <w:t xml:space="preserve">Bike+. It operates two specialized websites for the sale of these articles, go-sport.com and  </w:t>
        <w:br/>
        <w:t xml:space="preserve">courir.com.  </w:t>
        <w:br/>
        <w:t>1 It also distributes its products via the website www.mescoursescasino.fr.</w:t>
      </w:r>
    </w:p>
    <w:p>
      <w:r>
        <w:t xml:space="preserve">2. The company Sarenza SA (hereinafter "Sarenza") is active in the online sale of shoes and  </w:t>
        <w:br/>
        <w:t xml:space="preserve">leather goods, via its website www.sarenza.com. It does not operate any physical  </w:t>
        <w:br/>
        <w:t xml:space="preserve">stores. Its share capital is mainly held by the companies Shoe Invest ([…] %), HLD Europe  </w:t>
        <w:br/>
        <w:t xml:space="preserve">([…] %), and FPCI ETI 2020 ([…] %).  </w:t>
        <w:br/>
        <w:t xml:space="preserve">3. The operation, formalized by an acquisition agreement signed on March 5, 2018, consists of  </w:t>
        <w:br/>
        <w:t xml:space="preserve">the acquisition of 100% of the capital and voting rights of Sarenza by the company E-Trend. As it  </w:t>
        <w:br/>
        <w:t xml:space="preserve">consists of the exclusive control of Sarenza by Casino, the operation constitutes  </w:t>
        <w:br/>
        <w:t xml:space="preserve">a concentration operation within the meaning of Article L. 430-1 of the Commercial Code.  </w:t>
        <w:br/>
        <w:t xml:space="preserve">4. The companies concerned together achieve a total turnover excluding taxes on a global  </w:t>
        <w:br/>
        <w:t xml:space="preserve">scale of more than 150 million euros (Foncière Euris: […] euros for the fiscal year ending  </w:t>
        <w:br/>
        <w:t xml:space="preserve">December 31, 2016; Sarenza: […] euros for the fiscal year ending July 31, 2017). Each of  </w:t>
        <w:br/>
        <w:t xml:space="preserve">these companies has achieved in France a turnover exceeding 50 million euros (Foncière  </w:t>
        <w:br/>
        <w:t xml:space="preserve">Euris: […] euros for the fiscal year ending December 31, 2016; Sarenza: […] euros for  </w:t>
        <w:br/>
        <w:t xml:space="preserve">the fiscal year ending July 31, 2017). Given these turnover figures, the operation does not fall  </w:t>
        <w:br/>
        <w:t xml:space="preserve">under the jurisdiction of the European Union. On the other hand, the control thresholds mentioned  </w:t>
        <w:br/>
        <w:t xml:space="preserve">in I of Article L. 430-2 of the Commercial Code are exceeded. This operation is therefore subject  </w:t>
        <w:br/>
        <w:t xml:space="preserve">to the provisions of Articles L. 430-3 and following of the Commercial Code relating to  </w:t>
        <w:br/>
        <w:t xml:space="preserve">economic concentration.  </w:t>
        <w:br/>
        <w:t xml:space="preserve">II. Definition of relevant markets  </w:t>
        <w:br/>
        <w:t xml:space="preserve">5. The parties are simultaneously active in the sectors of retail distribution of new non-food  </w:t>
        <w:br/>
        <w:t xml:space="preserve">products (shoes and leather goods) and discounted products. In  </w:t>
        <w:br/>
        <w:t xml:space="preserve">each of these sectors, two categories of markets are distinguished: the upstream markets of  </w:t>
        <w:br/>
        <w:t xml:space="preserve">supply of retail companies from manufacturers (A) and the downstream markets, which bring  </w:t>
        <w:br/>
        <w:t xml:space="preserve">together retail companies and final consumers (B).  </w:t>
        <w:br/>
        <w:t xml:space="preserve">A. UPSTREAM MARKETS OF SUPPLY  </w:t>
        <w:br/>
        <w:t xml:space="preserve">1. NEW NON-FOOD PRODUCTS  </w:t>
        <w:br/>
        <w:t xml:space="preserve">6. Regarding the definition of product markets, the decision-making practice of  </w:t>
        <w:br/>
        <w:t xml:space="preserve">competition authorities considers that producers supplying distributors cannot  </w:t>
        <w:br/>
        <w:t xml:space="preserve">easily switch to manufacturing other products than their own. It thus distinguishes as many  </w:t>
        <w:br/>
        <w:t xml:space="preserve">markets as there are families of products2.  </w:t>
        <w:br/>
        <w:t xml:space="preserve">2 Decisions of the Competition Authority No. 18-DCC-01 of January 10, 2018, regarding the acquisition of exclusive control of the company  </w:t>
        <w:br/>
        <w:t xml:space="preserve">La Redoute by the company Motier (Galeries Lafayette group), No. 17-DCC-39 of April 4, 2017, regarding the acquisition of exclusive control of  </w:t>
        <w:br/>
        <w:t xml:space="preserve">the companies Livelle and 3 Suisses Belgium by Domoti SAS, No. 16-DCC-75 of May 23, 2016, regarding the acquisition of the company Becquet SAS by the  </w:t>
        <w:br/>
        <w:t xml:space="preserve">company Domoti SAS, No. 15-DCC-101 of July 30, 2015, regarding the exclusive control of GrosBill SA by Mutares AG, No. 14-DCC-28  </w:t>
        <w:br/>
        <w:t xml:space="preserve">of March 5, 2014, regarding the exclusive control of the company Mistergooddeal SA by the Darty group, No. 10-DCC-77 of July 9, 2010  </w:t>
        <w:br/>
        <w:t xml:space="preserve">regarding the control of the company Afibel SAS by the company Damartex SA, No. 10-DCC-42 of May 25, 2010, regarding the acquisition by  </w:t>
        <w:br/>
        <w:t xml:space="preserve">the company 3 Suisses International SA of certain assets of the company La Source, and decision of the European Commission COMP/M.5721 –  </w:t>
        <w:br/>
        <w:t xml:space="preserve">Otto/Primondo Assets of February 16, 2010.  </w:t>
        <w:br/>
        <w:t>2</w:t>
      </w:r>
    </w:p>
    <w:p>
      <w:r>
        <w:t xml:space="preserve">7. In the case at hand, the products purchased simultaneously by the parties from their suppliers  </w:t>
        <w:br/>
        <w:t xml:space="preserve">are shoes and leather goods. The parties consider that these products  </w:t>
        <w:br/>
        <w:t xml:space="preserve">form two distinct product families.  </w:t>
        <w:br/>
        <w:t xml:space="preserve">8. Regarding the definition of geographic markets, the decision-making practice of  </w:t>
        <w:br/>
        <w:t xml:space="preserve">competition authorities considers that the markets for the supply of shoes and leather goods are generally of a global dimension3.  </w:t>
        <w:br/>
        <w:t xml:space="preserve">9. In any case, the question of the exact definition of the upstream markets for the supply of new non-food products can be left open insofar as the conclusions of the competitive analysis remain unchanged, regardless of the segmentations considered.  </w:t>
        <w:br/>
        <w:t xml:space="preserve">2. DISCOUNTED PRODUCTS  </w:t>
        <w:br/>
        <w:t xml:space="preserve">10. Regarding the definition of product markets, the decision-making practice of the Competition Authority considers that it is appropriate to distinguish as many upstream markets as there are families of discounted products4.  </w:t>
        <w:br/>
        <w:t xml:space="preserve">11. In the case at hand, the discounted products purchased simultaneously by the parties from their suppliers are shoes.  </w:t>
        <w:br/>
        <w:t xml:space="preserve">12. Regarding the definition of geographic markets, the decision-making practice of the Competition Authority has retained a global dimension regarding the supply of discounted shoes5.  </w:t>
        <w:br/>
        <w:t xml:space="preserve">13. In any case, the question of the exact definition of the upstream markets for the supply of discounted products can be left open insofar as the conclusions of the competitive analysis remain unchanged, regardless of the segmentations considered.  </w:t>
        <w:br/>
        <w:t xml:space="preserve">B. DOWNSTREAM MARKETS OF DISTRIBUTION  </w:t>
        <w:br/>
        <w:t xml:space="preserve">1. NEW NON-FOOD PRODUCTS  </w:t>
        <w:br/>
        <w:t xml:space="preserve">a) Product markets  </w:t>
        <w:br/>
        <w:t xml:space="preserve">Distinction by product category  </w:t>
        <w:br/>
        <w:t xml:space="preserve">14. Regarding the retail distribution of non-food products, competition authorities distinguish as many markets as there are families of products6. Indeed, within each  </w:t>
        <w:br/>
        <w:t xml:space="preserve">3 Decisions No. 18-DCC-01, No. 17-DCC-39, No. 16-DCC-75, No. 15-DCC-101, No. 14-DCC-28, No. 10-DCC-77, No. 10-DCC-42, and COMP/M.5721  </w:t>
        <w:br/>
        <w:t xml:space="preserve">mentioned above, and letters from the Minister of Economy, Finance and Industry C2008-16, to the advisors of the company Vivarte, regarding a  </w:t>
        <w:br/>
        <w:t xml:space="preserve">concentration in the clothing and sports shoes sector, C2008-04, to the advisors of the company Vivarte, regarding a concentration in the  </w:t>
        <w:br/>
        <w:t xml:space="preserve">retail distribution of clothing and shoes.  </w:t>
        <w:br/>
        <w:t xml:space="preserve">4 Decisions of the Competition Authority No. 16-DCC-166 of October 31, 2016, regarding the control of the company Bazarchic by the  </w:t>
        <w:br/>
        <w:t xml:space="preserve">company UPLIC (Galeries Lafayette group) and No. 18-DCC-01 mentioned above.  </w:t>
        <w:br/>
        <w:t xml:space="preserve">5 Decisions No. 18-DCC-01 and No. 16-DCC-166 mentioned above.  </w:t>
        <w:br/>
        <w:t xml:space="preserve">6 Decisions No. 18-DCC-01, No. 17-DCC-39, No. 16-DCC-75, No. 15-DCC-101, No. 14-DCC-28, No. 10-DCC-77, No. 10-DCC-42, and COMP/M.5721,  </w:t>
        <w:br/>
        <w:t xml:space="preserve">COMP/M.080 and COMP/M.070 mentioned above.  </w:t>
        <w:br/>
        <w:t>3</w:t>
      </w:r>
    </w:p>
    <w:p>
      <w:r>
        <w:rPr>
          <w:b/>
        </w:rPr>
        <w:t>[Pages 4–6]</w:t>
      </w:r>
    </w:p>
    <w:p>
      <w:r>
        <w:t>markets thus defined, competition varies significantly due to the degree of specialization of a significant number of players in one or more product families.</w:t>
      </w:r>
    </w:p>
    <w:p>
      <w:r>
        <w:t>15. In the case at hand, the overlaps in activities of the parties mainly concern shoes and leather goods.</w:t>
      </w:r>
    </w:p>
    <w:p>
      <w:r>
        <w:t>16. Regarding the retail distribution market for shoes, the decision-making practice of the Competition Authority has segmented the market according to the age or gender of the final consumer (men, women, children), and the use of the shoes (indoor shoes, outdoor shoes). Within the segment of outdoor shoes, the Competition Authority has also considered distinguishing between city shoes and sports shoes.</w:t>
      </w:r>
    </w:p>
    <w:p>
      <w:r>
        <w:t>17. Regarding the retail distribution market for leather goods, the decision-making practice of competition authorities has considered that these products constitute a segment of the clothing and ready-to-wear market.</w:t>
      </w:r>
    </w:p>
    <w:p>
      <w:r>
        <w:t>18. In any case, the exact delimitation of these markets by product category can be left open, insofar as the conclusions of the competitive analysis remain unchanged, regardless of the segmentations retained.</w:t>
      </w:r>
    </w:p>
    <w:p>
      <w:r>
        <w:t>Distinction by distribution channel</w:t>
      </w:r>
    </w:p>
    <w:p>
      <w:r>
        <w:t>19. The Competition Authority has recently questioned the relevance of analyzing a concentration operation in the retail sector across two distinct distribution channels (distance selling or "VAD," on the one hand, and physical store sales, on the other) or on a global market that includes both distribution channels.</w:t>
      </w:r>
    </w:p>
    <w:p>
      <w:r>
        <w:t>20. In its opinion on the functioning of e-commerce, the Competition Authority noted that traditional retail brands are adapting their commercial strategies to account for the growth of online sales, adopting a "multichannel" distribution model that combines a network of physical stores and an online sales site. According to this model, they can create their own website where they offer products in addition to those sold in-store ("click &amp; mortar"), or they can create sites that develop their activities solely online ("pure player").</w:t>
      </w:r>
    </w:p>
    <w:p>
      <w:r>
        <w:t>21. However, the Competition Authority noted, depending on the products concerned, the maintenance of significant differences between VAD and physical store sales, particularly in the way actors in these two distribution channels communicate and acquire customers. Thus, from the consumer's perspective, purchasing in-store generally offers the possibility to inspect the desired product and, if necessary, to benefit from the advice of a specialized seller. Moreover, the items presented are, most of the time, available immediately. In contrast, VAD allows purchases to be made at any time of the day and week, without the need to travel. The European Commission has thus concluded that each distribution channel presents various advantages and disadvantages and meets different consumer needs. To date, it considers that these two distribution channels are more complementary than substitutable.</w:t>
      </w:r>
    </w:p>
    <w:p>
      <w:r>
        <w:t>22. In its decision regarding the acquisition of the company Darty by the company Fnac, the Competition Authority estimated that, regarding the retail distribution of brown and gray products, these differences tend to significantly reduce as brands present on both distribution channels adopt an "omnichannel" policy. It also found that the internet has been integrated into the purchasing behavior of French consumers. The Competition Authority thus concluded, following a thorough examination of the operation, that the markets for the retail distribution of brown and gray products now include both in-store sales and distance sales in metropolitan France.</w:t>
      </w:r>
    </w:p>
    <w:p>
      <w:r>
        <w:t>23. In this case, the analysis will be conducted at the level of each product category, across all distribution channels (in-store and VAD), but also solely on the VAD channel.</w:t>
      </w:r>
    </w:p>
    <w:p>
      <w:r>
        <w:t>b) Geographic markets</w:t>
      </w:r>
    </w:p>
    <w:p>
      <w:r>
        <w:t>24. Regarding the VAD segment of non-food products, the decision-making practice of competition authorities retains a national delimitation, due to linguistic differences and the heterogeneity of consumer habits within the European Union, as well as the homogeneity of costs and delivery times at the national level.</w:t>
      </w:r>
    </w:p>
    <w:p>
      <w:r>
        <w:t>25. However, regarding physical store sales of shoes and leather goods, the decision-making practice of the Competition Authority considers that the analysis should be conducted on catchment areas at the local level. It has considered that, for this type of purchase, consumers are willing to make a car trip of approximately 20 minutes to reach a store.</w:t>
      </w:r>
    </w:p>
    <w:p>
      <w:r>
        <w:t>26. Therefore, analyzing the operation on a global market, including both distribution channels (VAD and in-store), raises the question of its geographical dimension (national or local). In its aforementioned Fnac/Darty decision, the Competition Authority conducted its competitive analysis at both the national and local levels. It notably noted that the analysis of "online offerings does not imply overlooking the differences in local situations that may be available to the consumer depending on the catchment area in which they are located. Indeed, while the minority of purchases made online in the sector can be made from anywhere in the national territory, the vast majority of sales are made in-store and result from a consumer choice made particularly based on the alternatives that are geographically accessible to them. The existence of local competitive parameters shows, moreover, that among the alternatives between which the consumer arbiter, local offers are likely to respond to commercial and pricing strategies specific to the competitive situation."</w:t>
      </w:r>
    </w:p>
    <w:p>
      <w:r>
        <w:t>27. In this case, the analysis will be conducted at both the national and local levels, within the catchment areas of the Casino group's retail outlets.</w:t>
      </w:r>
    </w:p>
    <w:p>
      <w:r>
        <w:t>28. The question of the exact definition of the markets for the retail distribution of new non-food products can, however, be left open insofar as the conclusions of the competitive analysis remain unchanged, regardless of the boundaries considered.</w:t>
      </w:r>
    </w:p>
    <w:p>
      <w:r>
        <w:t>2. DISCOUNTED PRODUCTS</w:t>
      </w:r>
    </w:p>
    <w:p>
      <w:r>
        <w:t>29. The decision-making practice of competition authorities considers that there is a market for the retail distribution of low-priced items in which stores specializing in the clearance of branded products or the sale of "discount" products sell low-priced items to consumers.</w:t>
      </w:r>
    </w:p>
    <w:p>
      <w:r>
        <w:t>30. Similar to the segmentation retained regarding new non-food products, competition authorities have segmented this market by product family and by distribution channel.</w:t>
      </w:r>
    </w:p>
    <w:p>
      <w:r>
        <w:t>31. The decision-making practice of competition authorities considers that the markets for the retail distribution of low-priced items are at most of national dimension. The Authority has also considered a local dimension regarding physical store sales.</w:t>
      </w:r>
    </w:p>
    <w:p>
      <w:r>
        <w:t>32. In this case, the question of the exact definition of the geographic markets for the retail distribution of discounted products can be left open, insofar as the conclusions of the competitive analysis remain unchanged, regardless of the boundaries considered.</w:t>
      </w:r>
    </w:p>
    <w:p>
      <w:r>
        <w:t>III. Competitive analysis</w:t>
      </w:r>
    </w:p>
    <w:p>
      <w:r>
        <w:t>A. UPSTREAM SUPPLY MARKETS</w:t>
      </w:r>
    </w:p>
    <w:p>
      <w:r>
        <w:t>33. Regarding the supply of shoes, leather goods, and discounted shoes, the estimated combined market shares of the parties represent less than 5% of total supplies at the national level.</w:t>
      </w:r>
    </w:p>
    <w:p>
      <w:r>
        <w:rPr>
          <w:b/>
        </w:rPr>
        <w:t>[Pages 7–9]</w:t>
      </w:r>
    </w:p>
    <w:p>
      <w:r>
        <w:t>34. Given these limited market shares, the transaction is not likely to harm competition in the upstream markets for the supply of shoes, leather goods, and discounted shoes.</w:t>
      </w:r>
    </w:p>
    <w:p>
      <w:r>
        <w:t>B. THE DOWNSTREAM MARKETS FOR DISTRIBUTION</w:t>
      </w:r>
    </w:p>
    <w:p>
      <w:r>
        <w:t>1. RETAIL DISTRIBUTION OF SHOES</w:t>
      </w:r>
    </w:p>
    <w:p>
      <w:r>
        <w:t>35. At the national level, the combined market shares of the parties are consistently below [20-30]%, regardless of the segments analyzed and the distribution channel (distance selling and overall), with the highest combined market shares concerning the distribution of sports shoes, whether through the distance selling channel or all channels (around [10-20]%).</w:t>
      </w:r>
    </w:p>
    <w:p>
      <w:r>
        <w:t>Market shares in the distance selling channel</w:t>
        <w:br/>
        <w:t>Market share of Market share Market share</w:t>
        <w:br/>
        <w:t>Casino group of Sarenza combined parties</w:t>
        <w:br/>
        <w:t>Distribution of shoes in distance selling [0-5] % [5-10] % [10-20] %</w:t>
        <w:br/>
        <w:t>Distribution of men's shoes [0-5] % [5-10] % [5-10] %</w:t>
        <w:br/>
        <w:t>Distribution of women's shoes [0-5] % [10-20] % [10-20] %</w:t>
        <w:br/>
        <w:t>Distribution of children's shoes [0-5] % [5-10] % [5-10] %</w:t>
        <w:br/>
        <w:t>Distribution of indoor shoes [0-5] % [0-5] % [0-5] %</w:t>
        <w:br/>
        <w:t>Distribution of outdoor shoes [0-5] % [5-10] % [10-20] %</w:t>
        <w:br/>
        <w:t>Distribution of city shoes [0-5] % [5-10] % [5-10] %</w:t>
        <w:br/>
        <w:t>Distribution of sports shoes [5-10] % [10-20] % [10-20] %</w:t>
      </w:r>
    </w:p>
    <w:p>
      <w:r>
        <w:t>Market shares across all channels</w:t>
        <w:br/>
        <w:t>Market share of Market share Market share</w:t>
        <w:br/>
        <w:t>Casino group of Sarenza combined parties</w:t>
        <w:br/>
        <w:t>Distribution of shoes across all [5-10]% [0-5] % [5-10] %</w:t>
        <w:br/>
        <w:t>channels</w:t>
        <w:br/>
        <w:t>Distribution of men's shoes [5-10] % [0-5] % [5-10] %</w:t>
        <w:br/>
        <w:t>Distribution of women's shoes [0-5] % [0-5] % [5-10] %</w:t>
        <w:br/>
        <w:t>Distribution of children's shoes [5-10] % [0-5] % [5-10] %</w:t>
        <w:br/>
        <w:t>Distribution of indoor shoes [0-5] % [0-5] % [0-5] %</w:t>
        <w:br/>
        <w:t>Distribution of outdoor shoes [5-10] % [0-5] % [5-10] %</w:t>
        <w:br/>
        <w:t>Distribution of city shoes [0-5] % [0-5] % [0-5] %</w:t>
        <w:br/>
        <w:t>Distribution of sports shoes [10-20] % [0-5] % [10-20] %</w:t>
      </w:r>
    </w:p>
    <w:p>
      <w:r>
        <w:t>36. At the local level, in the market for the retail distribution of shoes across all channels, the market shares of the new entity remain below [30-40]%, except in the Stenay area (55) where they reach nearly [90-100]% regarding a potential market for the retail distribution of sports shoes26.</w:t>
      </w:r>
    </w:p>
    <w:p>
      <w:r>
        <w:t>37. However, this transaction is not likely to lead to horizontal effects in these local markets.</w:t>
      </w:r>
    </w:p>
    <w:p>
      <w:r>
        <w:t>38. On the one hand, regarding retail distribution markets, the Competition Authority generally considers that the market share threshold at which horizontal effects are likely to occur is 50%27. However, in this case, the market share of the new entity is below this threshold, except in the Stenay area (55). In this area, the significant market share of the new entity, which primarily results from the presence of the only store specialized in the distribution of sports shoes (GO Sport store), predated the transaction28.</w:t>
      </w:r>
    </w:p>
    <w:p>
      <w:r>
        <w:t>39. On the other hand, the overlap in activities between the parties resulting from the transaction is very limited since Sarenza's market share in the segment of sports shoe distribution, across all channels, is estimated at [0-5]%29. Thus, in the Stenay area, consumers will continue to have access to a fragmented offer, consisting of numerous online sales sites for sports shoes, of which Sarenza represents only a limited share (approximately [10-20]%).</w:t>
      </w:r>
    </w:p>
    <w:p>
      <w:r>
        <w:t>40. More generally, the new entity will face competition from significant national distributors active in each distribution channel: Décathlon, Intersport, La Halle, André for retail distribution in physical stores, and Zalando or Spartoo for distance selling. Furthermore, the Competition Authority notes that the acquisition of the André group by Spartoo, authorized by a decision concurrent with this one30, will grant this competitor a status equivalent to that of the new entity31, which will be active simultaneously in these two distribution channels.</w:t>
      </w:r>
    </w:p>
    <w:p>
      <w:r>
        <w:t>41. In light of the above, the transaction is not likely to harm competition in the retail distribution markets for shoes.</w:t>
      </w:r>
    </w:p>
    <w:p>
      <w:r>
        <w:t>2. RETAIL DISTRIBUTION OF LEATHER GOODS</w:t>
      </w:r>
    </w:p>
    <w:p>
      <w:r>
        <w:t>42. At the national level, the combined market shares of the parties are below [0-5]%, regardless of the sales channel considered.</w:t>
      </w:r>
    </w:p>
    <w:p>
      <w:r>
        <w:t>26 The notifying party was unable to precisely estimate the market share of the new entity, which must be estimated in value to account for the inclusion of specialized online sales players in the market. However, considering the national penetration rate of online sales of sports shoes in France, around 15%, and the quasi-monopolistic position of the Casino group in the local market for the retail distribution of sports shoes, the Authority retained a market share of approximately [90-100]%.</w:t>
      </w:r>
    </w:p>
    <w:p>
      <w:r>
        <w:t>27 Guidelines of the Competition Authority regarding the control of concentrations, point 397.</w:t>
      </w:r>
    </w:p>
    <w:p>
      <w:r>
        <w:t>28 In the catchment area defined around the GO Sport store in Stenay, a Super U supermarket, located in Montmédy (55), also distributes sports shoes.</w:t>
      </w:r>
    </w:p>
    <w:p>
      <w:r>
        <w:t>29 See point 398 of the aforementioned guidelines: the increment is below the level at which the Competition Authority generally considers that horizontal effects are likely to occur.</w:t>
      </w:r>
    </w:p>
    <w:p>
      <w:r>
        <w:t>30 Decision of the Competition Authority n° 18-DCC-53 of April 20, 2018, regarding the acquisition of the André company by Spartoo.</w:t>
      </w:r>
    </w:p>
    <w:p>
      <w:r>
        <w:t>31 Combination of a specialist online sales player with a physical distributor.</w:t>
      </w:r>
    </w:p>
    <w:p>
      <w:r>
        <w:t>43. At the local level, the combined market shares of the parties remain below [20-30]%. Furthermore, the increment of activity resulting from the transaction is below [0-5] points.</w:t>
      </w:r>
    </w:p>
    <w:p>
      <w:r>
        <w:t>44. Therefore, the transaction is not likely to harm competition in the retail distribution markets for leather goods.</w:t>
      </w:r>
    </w:p>
    <w:p>
      <w:r>
        <w:t>3. RETAIL DISTRIBUTION OF DISCOUNTED SHOES</w:t>
      </w:r>
    </w:p>
    <w:p>
      <w:r>
        <w:t>45. At both the national and local levels, the combined market shares of the parties are below [0-5]%.</w:t>
      </w:r>
    </w:p>
    <w:p>
      <w:r>
        <w:t>46. The transaction is therefore not likely to harm competition in the retail distribution markets for discounted shoes.</w:t>
      </w:r>
    </w:p>
    <w:p>
      <w:r>
        <w:rPr>
          <w:b/>
        </w:rPr>
        <w:t>[Pages 10–10]</w:t>
      </w:r>
    </w:p>
    <w:p>
      <w:r>
        <w:t>DECIDES</w:t>
      </w:r>
    </w:p>
    <w:p>
      <w:r>
        <w:t>Sole Article: The transaction notified under number 18-044 is authorized.</w:t>
      </w:r>
    </w:p>
    <w:p>
      <w: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