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https://www.autoritedelaconcurrence.fr/fr/decision-de-controle-des-concentrations/relative-la-prise-de-controle-exclusif-de-la-societe-235</w:t>
      </w:r>
    </w:p>
    <w:p>
      <w:r>
        <w:t>Pages translated : 2</w:t>
      </w:r>
    </w:p>
    <w:p/>
    <w:p>
      <w:r>
        <w:rPr>
          <w:b/>
        </w:rPr>
        <w:t>[Pages 1–2]</w:t>
      </w:r>
    </w:p>
    <w:p>
      <w:r>
        <w:t xml:space="preserve">FRENCH REPUBLIC  </w:t>
        <w:br/>
        <w:t xml:space="preserve">Decision No. 18-DCC-52 of April 20, 2018  </w:t>
        <w:br/>
        <w:t xml:space="preserve">regarding the exclusive control acquisition of the company Entreprise Viandes Abattage by the company Liffey Meats France  </w:t>
        <w:br/>
        <w:t xml:space="preserve">The Competition Authority,  </w:t>
        <w:br/>
        <w:t xml:space="preserve">Having regard to the complete notification file submitted to the mergers department on March 29, 2018, concerning the exclusive control acquisition of the company Entreprise Viandes Abattages ("EVA") by the company Liffey Meats France, formalized by a purchase option letter dated March 29,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Liffey Meats France, controlled by the Liffey Meats group, of the exclusive control of the company EVA.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meat processing markets, which are consistently defined by the decision-making practice of the Competition Authority.  </w:t>
        <w:br/>
        <w:t xml:space="preserve">3. Regardless of the segmentations retained, the cumulative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18-017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