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https://www.autoritedelaconcurrence.fr/fr/decision-de-controle-des-concentrations/relative-la-prise-de-controle-exclusif-de-la-societe-236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18-DCC-54 of April 16, 2018  </w:t>
        <w:br/>
        <w:t xml:space="preserve">regarding the exclusive control acquisition of the company Holding DPL SAS  </w:t>
        <w:br/>
        <w:t xml:space="preserve">by the company SSPF SAS  </w:t>
        <w:br/>
        <w:t>The Competition Authority,</w:t>
      </w:r>
    </w:p>
    <w:p>
      <w:r>
        <w:t xml:space="preserve">Having regard to the complete notification file submitted to the mergers department on March 9, 2018,  </w:t>
        <w:br/>
        <w:t xml:space="preserve">concerning the exclusive control acquisition of the company Holding DPL SAS by the company SSPF SAS,  </w:t>
        <w:br/>
        <w:t>and formalized by a share transfer agreement dated February 22, 2018;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exclusive control acquisition by the company SSPF SAS, controlled  </w:t>
        <w:br/>
        <w:t xml:space="preserve">by the Maurin group, of the company Holding DPL SAS, which operates through its subsidiaries  </w:t>
        <w:br/>
        <w:t xml:space="preserve">five automotive dealerships of Renault and Dacia brands in the department of Seine-et-Marne (77). It constitutes a concentration operation within the meaning of Article L. 430-1 of the Commercial Code. Given the turnover achieved by the concerned companies,  </w:t>
        <w:br/>
        <w:t xml:space="preserve">the operation does not fall under the jurisdiction of the European Union. On the other hand, the control thresholds mentioned in point II of Article L. 430-2 of the Commercial Code are exceeded. The  </w:t>
        <w:br/>
        <w:t xml:space="preserve">present operation is therefore subject to the 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18-039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