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https://www.autoritedelaconcurrence.fr/fr/decision-de-controle-des-concentrations/relative-la-prise-de-controle-exclusif-de-la-societe-238</w:t>
      </w:r>
    </w:p>
    <w:p>
      <w:r>
        <w:t>Pages translated : 14</w:t>
      </w:r>
    </w:p>
    <w:p/>
    <w:p>
      <w:r>
        <w:rPr>
          <w:b/>
        </w:rPr>
        <w:t>[Pages 1–3]</w:t>
      </w:r>
    </w:p>
    <w:p>
      <w:r>
        <w:t xml:space="preserve">FRENCH REPUBLIC  </w:t>
        <w:br/>
        <w:t xml:space="preserve">Decision No. 18-DCC-63 of April 23, 2018  </w:t>
        <w:br/>
        <w:t xml:space="preserve">regarding the exclusive control of the company Aufeminin  </w:t>
        <w:br/>
        <w:t>by TF1</w:t>
      </w:r>
    </w:p>
    <w:p>
      <w:r>
        <w:t xml:space="preserve">The Competition Authority,  </w:t>
        <w:br/>
        <w:t xml:space="preserve">Having regard to the notification file submitted in full to the merger service on March 16, 2018,  </w:t>
        <w:br/>
        <w:t xml:space="preserve">regarding the exclusive control of the company Aufeminin by TF1, formalized by a  </w:t>
        <w:br/>
        <w:t xml:space="preserve">transfer agreement signed on January 17, 2018;  </w:t>
        <w:br/>
        <w:t xml:space="preserve">Having regard to Book IV of the Commercial Code relating to price freedom and competition, and  </w:t>
        <w:br/>
        <w:t xml:space="preserve">notably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public limited company TF1 heads the TF1 group (hereinafter "TF1"), primarily active  </w:t>
        <w:br/>
        <w:t xml:space="preserve">in the free and pay television sector. Since 1987, the date of its privatization and the  </w:t>
        <w:br/>
        <w:t xml:space="preserve">entry of the Bouygues group into its capital, TF1 has been an integrated communication group,  </w:t>
        <w:br/>
        <w:t xml:space="preserve">and its activities cover the entire audiovisual value chain: production and acquisition  </w:t>
        <w:br/>
        <w:t xml:space="preserve">of audiovisual rights, publishing and marketing of television channels, marketing  </w:t>
        <w:br/>
        <w:t xml:space="preserve">of advertising spaces. The group publishes the free channels TF1 (historical terrestrial channel),  </w:t>
        <w:br/>
        <w:t xml:space="preserve">TMC, TFX (formerly NT1), TF1 Séries Films (formerly HD1), and LCI as well as  </w:t>
        <w:br/>
        <w:t xml:space="preserve">the pay channels TV Breizh, Histoire, Ushuaïa TV, and Série Club. The group also publishes  </w:t>
        <w:br/>
        <w:t xml:space="preserve">websites and paper magazines. It manages the advertising for all the channels it publishes  </w:t>
        <w:br/>
        <w:t xml:space="preserve">(except for Série Club), for channels it does not publish, as well as for other media supports  </w:t>
        <w:br/>
        <w:t xml:space="preserve">(Internet, radio, press). It is also a seller of audiovisual rights, publisher and distributor of DVDs  </w:t>
        <w:br/>
        <w:t xml:space="preserve">and Blu-rays, and provider of non-linear services. TF1 is also present in the tele-shopping sector  </w:t>
        <w:br/>
        <w:t>with its subsidiary Téléshopping.</w:t>
      </w:r>
    </w:p>
    <w:p>
      <w:r>
        <w:t xml:space="preserve">2. TF1 is exclusively controlled by the Bouygues group, which holds 43.8% of its capital. In addition  </w:t>
        <w:br/>
        <w:t xml:space="preserve">to media, the Bouygues group is notably present in the telecommunications, construction, and  </w:t>
        <w:br/>
        <w:t>real estate sectors.</w:t>
      </w:r>
    </w:p>
    <w:p>
      <w:r>
        <w:t xml:space="preserve">3. Aufeminin is a public limited company at the head of the Aufeminin group (hereinafter "Aufeminin"),  </w:t>
        <w:br/>
        <w:t xml:space="preserve">primarily active in the digital sector. It publishes websites (Aufeminin pole, Marmiton, My Little Paris,  </w:t>
        <w:br/>
        <w:t xml:space="preserve">Étoile Casting, Netmums, and Livingly Media), publishes a press title (Marmiton magazine), and  </w:t>
        <w:br/>
        <w:t xml:space="preserve">markets advertising spaces. The group also offers, through its agencies Studio Pompadour and My Little Studio,  </w:t>
        <w:br/>
        <w:t xml:space="preserve">marketing and communication services. Finally, it is active in the retail sale of beauty products and  </w:t>
        <w:br/>
        <w:t xml:space="preserve">accessories (My Little Box), clothing (Loom), and glasses (Edie &amp; Watson). Prior to the operation,  </w:t>
        <w:br/>
        <w:t>Aufeminin was controlled by Axel Springer International Holding GmbH.</w:t>
      </w:r>
    </w:p>
    <w:p>
      <w:r>
        <w:t xml:space="preserve">4. The contemplated operation, formalized by a transfer agreement signed on January 17, 2018,  </w:t>
        <w:br/>
        <w:t>consists of TF1 acquiring 78.43% of the capital and voting rights of Aufeminin.</w:t>
      </w:r>
    </w:p>
    <w:p>
      <w:r>
        <w:t xml:space="preserve">5. Insofar as it results in the exclusive control of the company Aufeminin by TF1,  </w:t>
        <w:br/>
        <w:t xml:space="preserve">the notified operation constitutes a concentration within the meaning of Article L. 430-1 of the  </w:t>
        <w:br/>
        <w:t>Commercial Code.</w:t>
      </w:r>
    </w:p>
    <w:p>
      <w:r>
        <w:t xml:space="preserve">6. The concerned companies together achieve a total worldwide turnover of more than 150 million euros  </w:t>
        <w:br/>
        <w:t xml:space="preserve">(TF1: 32.9 billion euros for the fiscal year ending December 31, 2017; Aufeminin: 113.5 million euros for the same fiscal year).  </w:t>
        <w:br/>
        <w:t xml:space="preserve">At least two of the concerned companies achieve a turnover in France exceeding 50 million euros  </w:t>
        <w:br/>
        <w:t xml:space="preserve">(TF1: 20.9 billion euros for the fiscal year ending December 31, 2017; Aufeminin: 55.5 million euros for the same fiscal year).  </w:t>
        <w:br/>
        <w:t xml:space="preserve">Given these turnover figures, the operation does not fall under the jurisdiction of the European Union.  </w:t>
        <w:br/>
        <w:t xml:space="preserve">On the other hand, the control thresholds mentioned in point I of Article L. 430-2 of the Commercial Code are exceeded.  </w:t>
        <w:br/>
        <w:t xml:space="preserve">The present operation is therefore subject to the provisions of Articles L. 430-3 and following of the Commercial Code  </w:t>
        <w:br/>
        <w:t>relating to economic concentration.</w:t>
      </w:r>
    </w:p>
    <w:p>
      <w:r>
        <w:t xml:space="preserve">II. Delimitation of the relevant markets  </w:t>
        <w:br/>
        <w:t xml:space="preserve">7. In this case, the parties are simultaneously active in the markets for printed press,  </w:t>
        <w:br/>
        <w:t xml:space="preserve">marketing and commercial communication services, retail sale of optical products,  </w:t>
        <w:br/>
        <w:t>retail sale of perfumes and cosmetics, and retail sale of clothing and underwear.</w:t>
      </w:r>
    </w:p>
    <w:p>
      <w:r>
        <w:t xml:space="preserve">8. However, in light of the parties' low market share (less than 5% in each of the  </w:t>
        <w:br/>
        <w:t xml:space="preserve">aforementioned markets, regardless of the segmentation considered), any risk of harm to  </w:t>
        <w:br/>
        <w:t xml:space="preserve">competition through horizontal effects can be ruled out across all these markets,  </w:t>
        <w:br/>
        <w:t>which will not be subject to detailed analysis in this decision.</w:t>
      </w:r>
    </w:p>
    <w:p>
      <w:r>
        <w:t xml:space="preserve">9. The parties are also simultaneously active in the markets for online advertising space sales  </w:t>
        <w:br/>
        <w:t>and website operation. These markets are presented below.</w:t>
      </w:r>
    </w:p>
    <w:p>
      <w:r>
        <w:t xml:space="preserve">10. TF1 is also present in the online advertising management market1 and in the online advertising intermediation market2.  </w:t>
        <w:br/>
        <w:t xml:space="preserve">However, in light of TF1's market share (less than 5% in the online advertising management market and less than 15% in the  </w:t>
        <w:br/>
        <w:t xml:space="preserve">online advertising intermediation market, regardless of the segmentation considered) in these markets, any risk of harm to  </w:t>
        <w:br/>
        <w:t xml:space="preserve">competition through vertical effects, between the online advertising space sales market and the aforementioned markets can be  </w:t>
        <w:br/>
        <w:t>ruled out. These markets will not be subject to detailed analysis in this decision.</w:t>
      </w:r>
    </w:p>
    <w:p>
      <w:r>
        <w:t xml:space="preserve">11. Conversely, TF1 is present in the television advertising space sales market, which may have connections with the  </w:t>
        <w:br/>
        <w:t xml:space="preserve">markets for advertising space sales on other media and with the market for marketing and commercial communication  </w:t>
        <w:br/>
        <w:t>services, in which the new entity will be present. These markets are presented below.</w:t>
      </w:r>
    </w:p>
    <w:p>
      <w:r>
        <w:t xml:space="preserve">A. MARKET FOR TELEVISION ADVERTISING SPACE SALES  </w:t>
        <w:br/>
        <w:t xml:space="preserve">12. The decision-making practice considers that there are as many markets for advertising space sales as there are media supports.  </w:t>
        <w:br/>
        <w:t xml:space="preserve">Indeed, depending on the type of media chosen (television, press, online, etc.), the target audience can vary significantly.  </w:t>
        <w:br/>
        <w:t>The costs and techniques for producing and disseminating messages also differ significantly.</w:t>
      </w:r>
    </w:p>
    <w:p>
      <w:r>
        <w:t>13. The decision-making practice particularly considers that the television advertising market is distinct from other advertising markets3.</w:t>
      </w:r>
    </w:p>
    <w:p>
      <w:r>
        <w:t xml:space="preserve">14. The notifying party indicates that, given the convergence of the advertising markets on the Internet and on television,  </w:t>
        <w:br/>
        <w:t xml:space="preserve">the evolution of audiovisual content consumption modes, and the common objectives for advertisers that both online advertising  </w:t>
        <w:br/>
        <w:t xml:space="preserve">and television advertising meet, and "without the analysis of the operation requiring the Authority to take a position on this question,"  </w:t>
        <w:br/>
        <w:t>"the television advertising market should be minimally expanded to include online video advertising."</w:t>
      </w:r>
    </w:p>
    <w:p>
      <w:r>
        <w:t xml:space="preserve">15. Despite the observation of an increasing convergence between online advertising and television advertising due to the  </w:t>
        <w:br/>
        <w:t xml:space="preserve">development of display video advertising on the Internet, the competition authorities have pointed out that a number of elements  </w:t>
        <w:br/>
        <w:t xml:space="preserve">show that television advertising and online advertising still constitute two distinct markets. In its Google/DoubleClick4 decision,  </w:t>
        <w:br/>
        <w:t xml:space="preserve">the European Commission thus considered that online advertising and offline advertising constituted two distinct markets.  </w:t>
        <w:br/>
        <w:t xml:space="preserve">In support of this distinction, it notably highlighted the specificity in terms of targeting of online advertising and the difference  </w:t>
        <w:br/>
        <w:t>in pricing between the two markets. The Competition Authority also retains this distinction5.</w:t>
      </w:r>
    </w:p>
    <w:p>
      <w:r>
        <w:t xml:space="preserve">16. In this case, there is no reason to challenge this distinction.  </w:t>
        <w:br/>
        <w:t xml:space="preserve">1 The sale of advertising spaces is carried out either directly or through an advertising agency. Competition authorities have recognized  </w:t>
        <w:br/>
        <w:t xml:space="preserve">the existence of as many advertising agency markets as there are media supports (see, for example, Decision No. 17-DCC-76 of June 13, 2017,  </w:t>
        <w:br/>
        <w:t xml:space="preserve">regarding the exclusive control of Groupe News Participations by SFR Group).  </w:t>
        <w:br/>
        <w:t xml:space="preserve">2 A distinct market for online advertising intermediation has been considered by decision-making practice. The activity of online advertising  </w:t>
        <w:br/>
        <w:t xml:space="preserve">intermediation relies on the sale of advertising inventories from the inventory of small publishers and from the residual inventory of larger  </w:t>
        <w:br/>
        <w:t xml:space="preserve">publishers who also use the direct sales channel (see, for example, Decision M.4731 of March 11, 2008, Google/DoubleClick).  </w:t>
        <w:br/>
        <w:t xml:space="preserve">3 See in particular the decisions of the Competition Authority No. 17-DCC-76 mentioned above, No. 14-DCC-50 of April 2, 2014,  </w:t>
        <w:br/>
        <w:t xml:space="preserve">regarding the exclusive control of the companies Direct 8, Direct Star, Direct Productions, Direct Digital, and Bolloré Intermédia by Vivendi SA  </w:t>
        <w:br/>
        <w:t xml:space="preserve">and Groupe Canal Plus, No. 10-DCC-11 of January 26, 2010, regarding the exclusive control by the TF1 group of the company NT1 and  </w:t>
        <w:br/>
        <w:t xml:space="preserve">Monte-Carlo Participations (AB group), and the decision of the European Commission No. COMP/M.8392 of April 24, 2017, Bolloré/Vivendi.  </w:t>
        <w:br/>
        <w:t xml:space="preserve">4 Decision of the European Commission No. COMP/M.4731 mentioned above.  </w:t>
        <w:br/>
        <w:t>5 Opinion No. 18-A-03 of March 6, 2018, regarding the exploitation of data in the online advertising sector did not revisit this distinction.</w:t>
      </w:r>
    </w:p>
    <w:p>
      <w:r>
        <w:rPr>
          <w:b/>
        </w:rPr>
        <w:t>[Pages 4–6]</w:t>
      </w:r>
    </w:p>
    <w:p>
      <w:r>
        <w:t>17. It has also been considered that the television advertising market does not need to be segmented according to whether the channel is free or paid, or according to the target audience, broadcasting times, and screen power.</w:t>
      </w:r>
    </w:p>
    <w:p>
      <w:r>
        <w:t>18. Finally, without definitively resolving the issue, the Authority has considered a potential sponsorship market.</w:t>
      </w:r>
    </w:p>
    <w:p>
      <w:r>
        <w:t>19. According to the competition authorities, the geographic dimension of the television advertising market is national, due to linguistic and cultural barriers, except in the case of local television advertising, for which the relevant market would correspond to the broadcasting area of the television6.</w:t>
      </w:r>
    </w:p>
    <w:p>
      <w:r>
        <w:t>20. In this case, the question of the exact delineation of the market for the sale of television advertising spaces can be left open, insofar as, regardless of the delineation retained, the conclusions of the competitive analysis remain unchanged.</w:t>
      </w:r>
    </w:p>
    <w:p>
      <w:r>
        <w:t>B. MARKET FOR THE SALE OF ADVERTISING SPACES IN PRINT MEDIA</w:t>
      </w:r>
    </w:p>
    <w:p>
      <w:r>
        <w:t>21. Competition authorities consider that the print media constitutes a distinct market from other media (television, radio, etc.), particularly because the latter do not provide as broad and in-depth an analysis of information as print media.</w:t>
      </w:r>
    </w:p>
    <w:p>
      <w:r>
        <w:t>22. In the print media sector, decision-making practice distinguishes between national daily press, regional daily press, magazine press, free press, and specialized press7.</w:t>
      </w:r>
    </w:p>
    <w:p>
      <w:r>
        <w:t>23. For each type of press thus defined, three markets are distinguished: the readership market, the advertising space sales market, and the classified ads market8.</w:t>
      </w:r>
    </w:p>
    <w:p>
      <w:r>
        <w:t>24. Regarding the advertising space sales market, decision-making practice9 considers that daily press is not substitutable for magazine press since these two types of press, given their periodicity, do not fulfill the same functions for readers.</w:t>
      </w:r>
    </w:p>
    <w:p>
      <w:r>
        <w:t>25. Competition authorities10 have also considered distinguishing a financial advertising market from a commercial advertising market.</w:t>
      </w:r>
    </w:p>
    <w:p>
      <w:r>
        <w:t>26. In the market for commercial advertising in national dailies, decision-making practice considers defining a market encompassing all national dailies, on the one hand, and a market limited to economic and financial dailies, on the other11.</w:t>
      </w:r>
    </w:p>
    <w:p>
      <w:r>
        <w:t>27. As for regional daily press, decision-making practice has considered a segmentation between "local" advertising and "extra-local" advertising12.</w:t>
      </w:r>
    </w:p>
    <w:p>
      <w:r>
        <w:t>28. Regarding magazine press, competition authorities13 have considered different approaches to delineate the relevant markets:</w:t>
        <w:br/>
        <w:t>- the first consists of considering that the advertising space sales market can be determined in a manner similar to the readership market, particularly insofar as magazines dealing with the same theme target readers with similar socio-professional characteristics and allow advertisers to reach the same advertising targets;</w:t>
        <w:br/>
        <w:t>- the second consists of grouping all magazines that have at least 25% of advertisers in common with a reference magazine. Such magazines would be considered substitutable from the advertisers' perspective;</w:t>
        <w:br/>
        <w:t>- the third method consists of segmenting the market based on the sector of activity of the advertisers.</w:t>
      </w:r>
    </w:p>
    <w:p>
      <w:r>
        <w:t>29. Regarding free press, decision-making practice has considered that there exists a market for advertising in free classified ads14. A finer segmentation has also been considered between real estate ads and job offers15.</w:t>
      </w:r>
    </w:p>
    <w:p>
      <w:r>
        <w:t>30. Finally, concerning the geographic delineation of the markets for the sale of advertising spaces in print media, it corresponds to the distribution area of the title16.</w:t>
      </w:r>
    </w:p>
    <w:p>
      <w:r>
        <w:t>31. In this case, the question of the exact delineation of the market for the sale of advertising spaces in print media can be left open, insofar as, regardless of the delineation retained, the conclusions of the competitive analysis remain unchanged.</w:t>
      </w:r>
    </w:p>
    <w:p>
      <w:r>
        <w:t>C. MARKET FOR MARKETING AND COMMERCIAL COMMUNICATION SERVICES</w:t>
      </w:r>
    </w:p>
    <w:p>
      <w:r>
        <w:t>32. The European Commission20 has considered that the market for marketing and commercial communication services is a distinct market from the markets for media buying services. It "includes various services, notably marketing, analysis and consulting services, public relations, and customer relationship management."</w:t>
      </w:r>
    </w:p>
    <w:p>
      <w:r>
        <w:t>33. It has also considered that the market does not need to be segmented according to the services concerned, the type of media, the sector, or the size of clients.</w:t>
      </w:r>
    </w:p>
    <w:p>
      <w:r>
        <w:t>34. The European Commission has estimated that the market for marketing and commercial communication services has a national dimension21.</w:t>
      </w:r>
    </w:p>
    <w:p>
      <w:r>
        <w:t>35. In this case, the question of the exact delineation of the market can be left open, insofar as, regardless of the delineation retained, the conclusions of the competitive analysis remain unchanged.</w:t>
      </w:r>
    </w:p>
    <w:p>
      <w:r>
        <w:t>D. MARKET FOR THE OPERATION OF WEBSITES</w:t>
      </w:r>
    </w:p>
    <w:p>
      <w:r>
        <w:t>36. In the sector of website operation, competition authorities distinguish editorial sites that constitute an extension of the print version of press titles (or "companion sites") from sites dedicated to specific themes such as classified ads (general ads, real estate, employment) or practical information related to cities22. Decision-making practice also considers that editorial sites linked to a title</w:t>
      </w:r>
    </w:p>
    <w:p>
      <w:r>
        <w:t>37. The European Commission has considered that the market for online advertising is distinct from other forms of advertising17.</w:t>
      </w:r>
    </w:p>
    <w:p>
      <w:r>
        <w:rPr>
          <w:b/>
        </w:rPr>
        <w:t>[Pages 7–9]</w:t>
      </w:r>
    </w:p>
    <w:p>
      <w:r>
        <w:t>print media compete with websites linked to other media (television or radio) and websites not linked to another media, all online (or "pure player")23.</w:t>
      </w:r>
    </w:p>
    <w:p>
      <w:r>
        <w:t>42. Within the category of "companion" sites, a segmentation was considered based on the type of information published on the sites (political and general news or economic and financial information)24. Regarding economic and financial information sites, a sub-segmentation was considered between economic and financial information sites, on the one hand, and stock and financial information sites, on the other hand25.</w:t>
      </w:r>
    </w:p>
    <w:p>
      <w:r>
        <w:t>43. In this case, the parties operate sites that may fall under the same specific theme. The sites Beauté Test, Parole de mamans, Avis de mamans from TF1, and the sites Aufeminin, Onmeda, and Mylittle from Aufeminin can be considered as belonging to the feminine theme.</w:t>
      </w:r>
    </w:p>
    <w:p>
      <w:r>
        <w:t>44. Regarding the geographic delineation of the markets for operating websites, the decision-making practice considers that it is at least of national dimension26.</w:t>
      </w:r>
    </w:p>
    <w:p>
      <w:r>
        <w:t>45. In this case, the question of the exact delineation of the market for operating websites can be left open, as, regardless of the delineation retained, the conclusions of the competitive analysis remain unchanged.</w:t>
      </w:r>
    </w:p>
    <w:p>
      <w:r>
        <w:t>III. Competitive Analysis</w:t>
      </w:r>
    </w:p>
    <w:p>
      <w:r>
        <w:t>A. ANALYSIS OF HORIZONTAL EFFECTS</w:t>
      </w:r>
    </w:p>
    <w:p>
      <w:r>
        <w:t>a) On the market for the sale of online advertising spaces</w:t>
      </w:r>
    </w:p>
    <w:p>
      <w:r>
        <w:t>46. In the market for the sale of online advertising spaces, the market share of the new entity will be less than 10%, regardless of the segmentation retained. In this market, the new entity will continue to face competition from international players such as Google, Facebook, and Webedia.</w:t>
      </w:r>
    </w:p>
    <w:p>
      <w:r>
        <w:t>47. Risks related to TF1's acquisition of data from Aufeminin have nevertheless been raised by more than one-third of respondents to the market test. Following the operation, TF1 would thus be able to use the data acquired from Aufeminin for better monetization of its online advertising spaces.</w:t>
      </w:r>
    </w:p>
    <w:p>
      <w:r>
        <w:t>48. It follows from opinion no. 18-A-03 of March 6, 2018, that data represents an important asset in the advertising sector, particularly as "the business models of digital players and internet advertising increasingly rely on the exploitation of user data for advertising purposes"27.</w:t>
      </w:r>
    </w:p>
    <w:p>
      <w:r>
        <w:t>49. However, as stated above, the new entity will hold a market share of less than 10% in the market for the sale of online advertising spaces with a maximum increment of [0-5]%. The data obtained by TF1, following the operation, will thus have only a limited effect on the market where powerful competitors are active, holding numerous and diverse data. Furthermore, this data primarily concerns the female target audience, on which TF1 and Aufeminin have relatively low coverage rates (5% and 7%, respectively, on a daily basis) compared to the coverage rates of Google and Facebook (79% and 68%, respectively, on a daily basis).</w:t>
      </w:r>
    </w:p>
    <w:p>
      <w:r>
        <w:t>50. Consequently, the operation is not likely to harm competition through horizontal effects in the market for the sale of online advertising spaces.</w:t>
      </w:r>
    </w:p>
    <w:p>
      <w:r>
        <w:t>b) On the market for operating websites</w:t>
      </w:r>
    </w:p>
    <w:p>
      <w:r>
        <w:t>51. The market share of the new entity has been estimated in terms of total visits, unique visitors, and page views, without altering the conclusions of the competitive analysis.</w:t>
      </w:r>
    </w:p>
    <w:p>
      <w:r>
        <w:t>52. In the potential segment of operating websites dedicated to the feminine theme, the market share of the new entity will be less than 15%. In this market, the new entity will continue to face competition from numerous players such as the sites Elle, Femme Actuelle, and Le journal des femmes.</w:t>
      </w:r>
    </w:p>
    <w:p>
      <w:r>
        <w:t>53. Consequently, the operation is not likely to harm competition through horizontal effects in the market for operating websites.</w:t>
      </w:r>
    </w:p>
    <w:p>
      <w:r>
        <w:t>B. ANALYSIS OF CONGLOMERATE EFFECTS</w:t>
      </w:r>
    </w:p>
    <w:p>
      <w:r>
        <w:t>54. A concentration is likely to have conglomerate effects when the new entity extends or strengthens its presence in markets that are related to other markets where it holds market power. Some conglomerate concentrations can indeed produce restrictive effects on competition when they allow for the technical or commercial linking of the sales of the new entity's products in a way that locks the market and excludes competitors.</w:t>
      </w:r>
    </w:p>
    <w:p>
      <w:r>
        <w:t>55. However, the guidelines of the Competition Authority indicate that it is unlikely that a concentration will pose a risk of conglomerate effects if the new entity does not have a strong position in a market from which it can leverage and refer to a threshold of 30% market share for assessing this market position.</w:t>
      </w:r>
    </w:p>
    <w:p>
      <w:r>
        <w:t>56. Prior to the operation, TF1 was already active in the television advertising space sales market. The operation will allow it to expand its activities in the markets for the sale of online advertising spaces and in print media, around strong brands (Aufeminin and Marmiton). TF1 will thus have a wide range of advertising spaces to offer to advertisers, and it could use its position in the television advertising space sales market to strengthen itself in the related markets of online advertising space sales (a)28 and print advertising space sales (b)29.</w:t>
      </w:r>
    </w:p>
    <w:p>
      <w:r>
        <w:t>57. Finally, TF1 could use its position in the television advertising space sales market to extend its position in the marketing and commercial communication services market, in which TF1 is marginally strengthening due to the operation (c).</w:t>
      </w:r>
    </w:p>
    <w:p>
      <w:r>
        <w:t>a) Analysis of conglomerate effects on the television and online advertising space sales markets</w:t>
      </w:r>
    </w:p>
    <w:p>
      <w:r>
        <w:t>58. According to TF1, "it is not necessary to take a position on TF1's ability to leverage its position in the television advertising market to exploit the online advertising market," since TF1 will not have an incentive to implement such leverage and, in any case, such a strategy would not have an effect on competition.</w:t>
      </w:r>
    </w:p>
    <w:p>
      <w:r>
        <w:t>59. However, TF1 is considered, by some respondents to the market test, to be capable of exploiting the connections between the television and online advertising space sales markets through a bundling strategy.</w:t>
      </w:r>
    </w:p>
    <w:p>
      <w:r>
        <w:t>60. According to decision-making practice, the likelihood that the operation distorts competition through conglomerate effects depends on (i) TF1's ability to effectively implement a bundling strategy, (ii) its incentive to implement such a strategy, and (iii) the effects of this strategy on the markets in question.</w:t>
      </w:r>
    </w:p>
    <w:p>
      <w:r>
        <w:t>(i) Ability of the new entity to implement a bundling strategy</w:t>
      </w:r>
    </w:p>
    <w:p>
      <w:r>
        <w:t>♦ TF1's position in the television advertising space sales market</w:t>
      </w:r>
    </w:p>
    <w:p>
      <w:r>
        <w:t>61. According to estimates provided by the notifying party, TF1's market share is [40-50]% in 2016 in the television advertising space sales market30.</w:t>
      </w:r>
    </w:p>
    <w:p>
      <w:r>
        <w:t>62. In this market, TF1 faces competition from the M6 group (market share of 24.4%31), France Télévisions (11.4%), Groupe Canal Plus (9.1%), NextRadioTV (4.5%), and the NRJ group (2.5%).</w:t>
      </w:r>
    </w:p>
    <w:p>
      <w:r>
        <w:t>63. Furthermore, the TF1 channel has the highest audience share in the market (20% in 2017 compared to 9.5% for M6, the channel with the second highest audience share), [confidential].</w:t>
      </w:r>
    </w:p>
    <w:p>
      <w:r>
        <w:t>64. At the group level, TF1's audience share is the second highest in the market (27.7% in 2017 compared to 28.1% for France Télévisions, 13.8% for the M6 group, 6.3% for Groupe Canal Plus, 6% for the Altice group, and 2.7% for the NRJ group). [confidential].</w:t>
      </w:r>
    </w:p>
    <w:p>
      <w:r>
        <w:t>28 TF1 would also be able to use the data from Aufeminin, obtained from the online advertising space sales market, for better monetization of its television advertising spaces. Such conglomerate effects can nevertheless be ruled out given Aufeminin's position in the online advertising space sales market and since, under current regulations, targeted advertising on television is not permitted (Article 13 of Decree No. 92-280 of March 27, 1992: "advertising messages must be broadcast simultaneously throughout the entire service area").</w:t>
      </w:r>
    </w:p>
    <w:p>
      <w:r>
        <w:t>29 Any risk of conglomerate effects related to the existence of leverage from the online advertising space sales and print media markets can, on the other hand, be ruled out, given the new entity's market share of less than 30% in each of these markets, regardless of the segmentation retained.</w:t>
      </w:r>
    </w:p>
    <w:p>
      <w:r>
        <w:t>30 In the potential sponsorship segment, TF1's market share would be [40-50]%.</w:t>
      </w:r>
    </w:p>
    <w:p>
      <w:r>
        <w:t>31 Estimates provided by TF1 for the year 2016.</w:t>
      </w:r>
    </w:p>
    <w:p>
      <w:r>
        <w:rPr>
          <w:b/>
        </w:rPr>
        <w:t>[Pages 10–12]</w:t>
      </w:r>
    </w:p>
    <w:p>
      <w:r>
        <w:t>65. The central position of TF1 is also confirmed by its ownership of powerful screens32. TF1 indicates, in this regard,33 [confidential]. At the same time, it believes that market practice is evolving and that powerful screens are no longer necessary for advertisers who can, according to it, achieve better coverage levels more quickly by combining less powerful screens. TF1 supports its statement by the fact that [confidential].</w:t>
      </w:r>
    </w:p>
    <w:p>
      <w:r>
        <w:t>66. The aforementioned decision No. 10-DCC-11 recognized that powerful screens were primarily concentrated in the offering of the TF1 channel and to a lesser extent in that of the M6 channel (para. 365) and that "Generally speaking, powerful screens allow advertisers to achieve better coverage rates and more sustained ramp-up rates" (para. 371). Contributions to the market test confirm these assertions: the screens owned by TF1 continue to be qualified as powerful, M6 is the only channel claiming to own such screens, and for the majority of respondents, the ownership of powerful screens remains considered a competitive advantage.</w:t>
      </w:r>
    </w:p>
    <w:p>
      <w:r>
        <w:t>♦ Competitors' ability to counter a bundling strategy</w:t>
      </w:r>
    </w:p>
    <w:p>
      <w:r>
        <w:t>67. According to TF1, competing television groups "all market offers bundling or linking television spots with digital and/or radio advertising spaces," such offers leading to the application of discounts.</w:t>
      </w:r>
    </w:p>
    <w:p>
      <w:r>
        <w:t>68. For example, the "6mixTV-Web" offer proposes spaces from television channels and digital media from the M6 group for an overall discount of up to 1.5%34.</w:t>
      </w:r>
    </w:p>
    <w:p>
      <w:r>
        <w:t>69. TF1's competitors all have a wide range of television and online advertising spaces to offer advertisers. All the channels surveyed stated that they had already marketed offers bundling television and digital advertising spaces, but for the majority of them, this marketing currently occurs on an ad-hoc basis, within the framework of special operations.</w:t>
      </w:r>
    </w:p>
    <w:p>
      <w:r>
        <w:t>♦ Buyers' counter-power</w:t>
      </w:r>
    </w:p>
    <w:p>
      <w:r>
        <w:t>70. In the context of this operation, TF1 believes that "[its] clients in the television advertising market have very significant negotiating power" and specifies that in 2016, […] % of its revenue in the television advertising space sales market was generated with the five main media agency groups (Publicis, WPP, Havas, Dentsu-Aegis, and Omnicom).</w:t>
      </w:r>
    </w:p>
    <w:p>
      <w:r>
        <w:t>71. At the same time, TF1 highlights the development, in the market, of purchasing advertising spaces on a "guaranteed GRP cost" basis, whereby the seller assumes the risk (if the audience is not reached, free spots or additional discounts are provided) whereas traditionally, the advertiser assumed the risk of disappointing audience figures. This practice would demonstrate, according to TF1, the negotiating power of advertisers/media agencies.</w:t>
      </w:r>
    </w:p>
    <w:p>
      <w:r>
        <w:t>72. The development of purchasing television advertising spaces on a guaranteed GRP cost basis is also highlighted by a majority of respondents to the market test. The surveyed channels also consider that the negotiating power of advertisers/media agencies is strong vis-à-vis sellers of television advertising spaces.</w:t>
      </w:r>
    </w:p>
    <w:p>
      <w:r>
        <w:t>73. Regarding the distribution of advertisers based on the share of their budget allocated to TF1, an indicator of TF1's importance to advertisers, according to the aforementioned decision No. 10-DCC-11, in the first half of 2009, 62% of advertisers present at TF1 invested more than 47% of their budget on the channel. The results of the market test for this operation indicate that advertisers' investments with TF1 (across all media) amount to 20 to 40% of their total investments, except for two surveyed advertisers investing more than 60% of their budget with TF1.</w:t>
      </w:r>
    </w:p>
    <w:p>
      <w:r>
        <w:t>♦ Conclusion on the new entity's ability to implement a bundling strategy</w:t>
      </w:r>
    </w:p>
    <w:p>
      <w:r>
        <w:t>74. While the negotiating power of TF1's clients is considered significant by the surveyed channels and while TF1's competitors hold a range of advertising spaces comparable to its own, TF1 occupies, however, a position in the television advertising space sales market that, regardless of the indicator used, is sufficient to grant it the ability to implement, following the operation, a bundling strategy.</w:t>
      </w:r>
    </w:p>
    <w:p>
      <w:r>
        <w:t>(ii) Incentive for the new entity to implement a bundling strategy</w:t>
      </w:r>
    </w:p>
    <w:p>
      <w:r>
        <w:t>75. The incentive for TF1 to implement a bundling strategy is assessed through several elements.</w:t>
      </w:r>
    </w:p>
    <w:p>
      <w:r>
        <w:t>76. First, to date, the marketing of advertising spaces by TF1 is carried out, for almost all sales, media by media. TF1 indicates that bundled offers have been marketed on the occasion of special offers. The MYTNT1 offer, launched in the second half of 2017, concerns, however, both advertising spaces from the group's TNT channels and digital spaces from MYTF1. TF1 specifies [confidential]. The commercial conditions of TF1 provide for a discount of approximately 2% of the GRP cost for this offer compared to the television-only offer, and TF1 indicates [confidential]. Nevertheless, this MYTNT1 offer remains the only example of an offer bundling television and online advertising spaces proposed by TF1, which, moreover, does not include the TF1 channel itself.</w:t>
      </w:r>
    </w:p>
    <w:p>
      <w:r>
        <w:t>77. Regarding the functioning of the market and the commercial interest in offering bundled offers, it emerges from the market test that these offers should be developed in the market over the next three years. The ease of transposing a television advertising message into an online advertising message is highlighted by all respondents, given the common use of the video format.</w:t>
      </w:r>
    </w:p>
    <w:p>
      <w:r>
        <w:t>78. Conversely, TF1 believes that negotiations for the sale of television advertising spaces and the sale of online advertising spaces do not necessarily have the same timing. This assertion is confirmed by the responses to the market test which further specify that sales teams remain specialized by type of advertising space to this day.</w:t>
      </w:r>
    </w:p>
    <w:p>
      <w:r>
        <w:t>79. Although the majority of advertisers/media agencies indicate that they have already purchased bundled offers, this majority also believes that the marketing of such offers does not constitute a competitive advantage for the seller. Advertisers/media agencies explain that these offers lead to less flexibility regarding the design of the advertising campaign and the allocation of the budget among different types of media. The development of bundled offers thus seems not to correspond to the need for flexibility expressed by clients.</w:t>
      </w:r>
    </w:p>
    <w:p>
      <w:r>
        <w:t>80. Finally, it emerges from the internal documents related to the operation, provided by TF1, that the operation will allow it to exploit the complementarity of television and online advertising models. This complementarity will enable the marketing of a unique advertising offer ("bundle"), the gathering of data, and a synergy of costs.</w:t>
      </w:r>
    </w:p>
    <w:p>
      <w:r>
        <w:t>81. It follows from the above elements that while bundled offers are marginal to date and advertisers/media agencies seem reluctant to purchase such offers, they are nevertheless likely to develop. The implementation of bundled offers appears primarily as one of the objectives of the operation, and TF1's incentive to implement a bundling strategy cannot therefore be ruled out.</w:t>
      </w:r>
    </w:p>
    <w:p>
      <w:r>
        <w:t>(iii) Effects of the implementation of a bundling strategy by the new entity</w:t>
      </w:r>
    </w:p>
    <w:p>
      <w:r>
        <w:t>82. TF1 would be able, following the operation, to leverage its position in the television advertising space sales market to strengthen its presence in the online advertising space sales market. TF1's competitors in this latter market could then see their sales decrease. Nevertheless, as specified by the European Commission's Guidelines on the assessment of non-horizontal concentrations under Regulation No. 139/2004, "the reduction of competitors' sales does not in itself constitute a problem" (para. 111).</w:t>
      </w:r>
    </w:p>
    <w:p>
      <w:r>
        <w:t>83. According to TF1's estimates, the market share of the new entity in the online advertising space sales market will be less than 10%, regardless of the segmentation considered. Of these 10%, according to the information provided by TF1, the number of TF1 clients common with Aufeminin averages […] % over each of the last three years, across all media. Based on these elements alone, the effects of a bundling strategy would thus be limited.</w:t>
      </w:r>
    </w:p>
    <w:p>
      <w:r>
        <w:t>84. Furthermore, given the strength of TF1's competitors in the online advertising space sales market and the low barriers to entry in this market, it cannot be established that such a bundling strategy would reduce these players' ability or motivation to compete with TF1 and thus affect a sufficient part of the market. Several respondents have indicated in this regard that TF1 will not be able to ignore the pressure from its competitors in the online advertising space sales market, particularly the GAFA35.</w:t>
      </w:r>
    </w:p>
    <w:p>
      <w:r>
        <w:t>85. Indeed, in the total online advertising market, in 2016, Google held a market share of [50-60]% and Facebook [10-20]% while the new entity would represent only [0-5]% of market share. Responses to the market test highlight that the growth of the online advertising space sales market is captured almost exclusively by the GAFA.</w:t>
      </w:r>
    </w:p>
    <w:p>
      <w:r>
        <w:t>86. Thus, despite TF1's position in the television advertising space sales market and its incentive to implement a bundling strategy, its competitors in the online advertising space sales market are sufficiently strong for the effects of such a strategy to be ruled out.</w:t>
      </w:r>
    </w:p>
    <w:p>
      <w:r>
        <w:t>87. In light of these elements, the operation is not likely to harm competition through conglomerate effects in the television and online advertising space sales markets.</w:t>
      </w:r>
    </w:p>
    <w:p>
      <w:r>
        <w:t>b) Analysis of conglomerate effects in the television and print advertising space sales markets</w:t>
      </w:r>
    </w:p>
    <w:p>
      <w:r>
        <w:t>88. Regarding TF1's ability to implement a bundling strategy, the elements presented above are transposable. Only two surveyed channels would have a</w:t>
      </w:r>
    </w:p>
    <w:p>
      <w:r>
        <w:rPr>
          <w:b/>
        </w:rPr>
        <w:t>[Pages 13–14]</w:t>
      </w:r>
    </w:p>
    <w:p>
      <w:r>
        <w:t>advertising spaces similar to that of TF1 combining television advertising spaces and print advertising spaces.</w:t>
      </w:r>
    </w:p>
    <w:p>
      <w:r>
        <w:t>89. Regarding the incentives, it appears from the information provided that [confidential]. In light of the market functioning and the commercial interest in offering bundled offers, the market test indicates that offers bundling television advertising spaces and print advertising spaces are not likely to develop in the market, and no advertiser/media agency surveyed reported past purchases of such offers. The format of a television advertising message is not similar to that of a print advertising message, and the negotiations for the sale of television advertising spaces and the sale of print advertising spaces do not necessarily have the same timing.</w:t>
      </w:r>
    </w:p>
    <w:p>
      <w:r>
        <w:t>90. Regarding the effects, the operation does not allow TF1 to significantly expand in the market for the sale of print advertising spaces, as the market share of the new entity will be below 5%, regardless of the segmentation considered. The press titles involved in the operation attract only a limited audience, and the operation allows TF1 to acquire a single magazine (Marmiton Magazine)36.</w:t>
      </w:r>
    </w:p>
    <w:p>
      <w:r>
        <w:t>91. In light of these elements, the operation is not likely to harm competition through conglomerate effects in the markets for the sale of television advertising spaces and print advertising spaces.</w:t>
      </w:r>
    </w:p>
    <w:p>
      <w:r>
        <w:t>c) Analysis of conglomerate effects on the markets for the sale of television advertising spaces and marketing and commercial communication services</w:t>
      </w:r>
    </w:p>
    <w:p>
      <w:r>
        <w:t>92. TF1 believes that it neither has the capacity nor the incentive to implement a bundling strategy between the sale of television advertising spaces and marketing and commercial communication services.</w:t>
      </w:r>
    </w:p>
    <w:p>
      <w:r>
        <w:t>93. Despite TF1's market share in the television advertising space sales market, [confidential]. The majority of respondents to the market test also indicated that they would not accept an offer for marketing and commercial communication services from a media group due to its lack of independence.</w:t>
      </w:r>
    </w:p>
    <w:p>
      <w:r>
        <w:t>94. In any case, the operation does not allow TF1 to significantly expand in the market for marketing and commercial communication services, as the activity of the new entity is specialized in niche activities and its market share is below 1% in this market. Furthermore, the presence of international advertising groups in the market would prevent the bundling strategy implemented by TF1 from producing significant effects there.</w:t>
      </w:r>
    </w:p>
    <w:p>
      <w:r>
        <w:t>95. Consequently, the operation is not likely to harm competition through conglomerate effects in the market for the sale of television advertising spaces and the market for marketing and commercial communication services.</w:t>
      </w:r>
    </w:p>
    <w:p>
      <w:r>
        <w:t>36 In 2017, the 80th magazine in terms of paid circulation, according to information provided by TF1.</w:t>
      </w:r>
    </w:p>
    <w:p>
      <w:r>
        <w:t>DECIDES</w:t>
        <w:br/>
        <w:t>Sole Article: The operation notified under number 18-004 is authorized.</w:t>
        <w:b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