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https://www.autoritedelaconcurrence.fr/fr/decision-de-controle-des-concentrations/relative-la-prise-de-controle-exclusif-de-la-societe-239</w:t>
      </w:r>
    </w:p>
    <w:p>
      <w:r>
        <w:t>Pages translated : 2</w:t>
      </w:r>
    </w:p>
    <w:p/>
    <w:p>
      <w:r>
        <w:rPr>
          <w:b/>
        </w:rPr>
        <w:t>[Pages 1–2]</w:t>
      </w:r>
    </w:p>
    <w:p>
      <w:r>
        <w:t xml:space="preserve">FRENCH REPUBLIC  </w:t>
        <w:br/>
        <w:t xml:space="preserve">Decision No. 18-DCC-69 of April 26, 2018  </w:t>
        <w:br/>
        <w:t xml:space="preserve">regarding the exclusive control acquisition of the company  </w:t>
        <w:br/>
        <w:t xml:space="preserve">Garage Dietrich SAS by the company Paul Kroely Animation SAS  </w:t>
        <w:br/>
        <w:t xml:space="preserve">The Competition Authority,  </w:t>
        <w:br/>
        <w:t xml:space="preserve">Having regard to the notification file sent to the mergers department on February 28, 2018, and declared complete on March 27, 2018, concerning the exclusive control acquisition of the company Garage Dietrich SAS by the company Paul Kroely Animation SAS, formalized by a share transfer agreement dated February 5, 2018;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exclusive control acquisition by the company Paul Kroely Animation of the company Garage Dietrich, which operates a car dealership comprising a main establishment of Mercedes Benz and Smart brands and a secondary establishment of Jeep and Mitsubishi brands in the Haut-Rhin department (68).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18-043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