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https://www.autoritedelaconcurrence.fr/fr/decision-de-controle-des-concentrations/relative-la-prise-de-controle-exclusif-de-la-societe-24</w:t>
      </w:r>
    </w:p>
    <w:p>
      <w:r>
        <w:t>Pages translated : 3</w:t>
      </w:r>
    </w:p>
    <w:p/>
    <w:p>
      <w:r>
        <w:rPr>
          <w:b/>
        </w:rPr>
        <w:t>[Pages 1–3]</w:t>
      </w:r>
    </w:p>
    <w:p>
      <w:r>
        <w:t xml:space="preserve">FRENCH REPUBLIC  </w:t>
        <w:br/>
        <w:t xml:space="preserve">Decision No. 10-DCC-96 of August 17, 2010  </w:t>
        <w:br/>
        <w:t xml:space="preserve">regarding the exclusive control of FF Investments SAS  </w:t>
        <w:br/>
        <w:t>(brand Foir’Fouille) by Qualium Investissement</w:t>
      </w:r>
    </w:p>
    <w:p>
      <w:r>
        <w:t xml:space="preserve">The Competition Authority,  </w:t>
        <w:br/>
        <w:t xml:space="preserve">Having regard to the notification file submitted to the merger service on July 20, 2010, and declared complete on July 29, 2010, concerning the acquisition of FF Investments SAS by Qualium Investissement, formalized by an acquisition agreement dated May 28, 2010, amended by an addendum dated July 20, 2010;  </w:t>
        <w:br/>
        <w:t xml:space="preserve">Having regard to Book IV of the Commercial Code relating to price freedom and competition, and in particular its Articles L. 430-1 to L. 430-7;  </w:t>
        <w:br/>
        <w:t xml:space="preserve">Having regard to the supplementary elements provided by the parties during the investigation;  </w:t>
        <w:br/>
        <w:t>Adopts the following decision:</w:t>
      </w:r>
    </w:p>
    <w:p>
      <w:r>
        <w:t xml:space="preserve">I. The companies concerned and the operation  </w:t>
        <w:br/>
        <w:t xml:space="preserve">1. Qualium Investissement (hereinafter "Qualium") is a portfolio management company, holding an authorization from the Financial Markets Authority, dedicated to leveraged buyouts and development capital operations through risk mutual funds. It is 100% owned by the Caisse des Dépôts et Consignations (hereinafter "CDC").  </w:t>
        <w:br/>
        <w:t xml:space="preserve">2. The CDC is a public institution, governed by Articles L. 518-2 and following of the Monetary and Financial Code, which fulfills missions of general interest in support of public policies conducted by the State and local authorities (deposits in savings accounts that finance social rental housing and urban renewal, regulated deposits and consignments, pensions, and social security treasury) and which carries out activities open to competition. These are grouped around four poles: (i) personal insurance through CNP Assurances, (ii) real estate directly and through Icade and the Société Nationale Immobilière, (iii) services, through Transdev (public transport), Egedis (infrastructure engineering), Compagnie des Alpes (operation of ski resorts and leisure sites), and Belambra (operation of tourist residences of eight hotels), (iv) the development of SMEs and venture capital through CDC Entreprises, the Strategic Investment Fund (hereinafter "FSI"), and Qualium Investissement. The CDC group achieved a consolidated global turnover excluding taxes of [&gt;150] million euros in 2009, of which [&gt;50] million was in France.  </w:t>
        <w:br/>
        <w:t xml:space="preserve">3. FF Investments is 100% owned by the Luxembourg-based company Headbose. It, in turn, holds 99.97% of the capital of the company Foir’Fouille, with the remainder held by individuals. Foir’Fouille specializes, through its subsidiaries, in the retail sale of low-cost non-food products. The brand comprises 184 stores ([…] owned, […] franchised), primarily located in Metropolitan France. The group achieved a consolidated global turnover excluding taxes of 123.4 million euros in 2009, of which 121.5 million was in France.  </w:t>
        <w:br/>
        <w:t xml:space="preserve">4. The notified operation, formalized by an acquisition agreement dated May 28, 2010, amended by an addendum dated July 20, 2010, provides that the management company Qualium Investissement will hold, via the investment vehicle Univers 24, all the shares comprising the capital of FF Investments. The notified project stipulates that it will remain a shareholder at 99.97% of the company Foir’Fouille, with the rest of the capital remaining held by individuals.  </w:t>
        <w:br/>
        <w:t>5. Insofar as it results in the exclusive control of FF Investments by Qualium Investissement via Univers 24, the notified operation constitutes a concentration within the meaning of Article L. 430-1 of the Commercial Code. Given the turnover of the companies concerned, it does not have a community dimension. However, the control thresholds mentioned in Article L. 430-2 of the Commercial Code are exceeded. The present operation is therefore subject to the provisions of Articles L. 430-3 and following of the Commercial Code relating to economic concentration.</w:t>
      </w:r>
    </w:p>
    <w:p>
      <w:r>
        <w:t xml:space="preserve">II. Competitive analysis  </w:t>
        <w:br/>
        <w:t xml:space="preserve">6. FF Investments is present, through its subsidiaries and franchisees, in the market for the distribution of miscellaneous and decorative items. The companies controlled by Qualium are not present in the aforementioned market. They are also not active in markets that have vertical or related links with the market for the distribution of miscellaneous and decorative items.  </w:t>
        <w:br/>
        <w:t xml:space="preserve">7. Regarding the activities of the CDC group as a whole, the only activities carried out in a market related to that of the distribution of miscellaneous and decorative items are those of property management and the management of commercial real estate assets for its own account. However, the presence of the CDC group in the relevant markets is not likely to influence the access of Foir’Fouille's competitors to the commercial spaces necessary for their activities.  </w:t>
        <w:br/>
        <w:t>8. Consequently, the notified operation is not likely to harm competition.</w:t>
      </w:r>
    </w:p>
    <w:p>
      <w:r>
        <w:t xml:space="preserve">DECIDES  </w:t>
        <w:br/>
        <w:t xml:space="preserve">Article one: The operation notified under number 10-0108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