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https://www.autoritedelaconcurrence.fr/fr/decision-de-controle-des-concentrations/relative-la-prise-de-controle-exclusif-de-la-societe-241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18-DCC-80 of May 25, 2018</w:t>
        <w:br/>
        <w:t>regarding the exclusive control acquisition of the company</w:t>
        <w:br/>
        <w:t>Groupe Duffort Tours SAS by the company Dauphine 27 SAS</w:t>
        <w:br/>
        <w:t>The Competition Authority,</w:t>
      </w:r>
    </w:p>
    <w:p>
      <w:r>
        <w:t>Having regard to the complete notification file submitted to the mergers department on April 16, 2018,</w:t>
        <w:br/>
        <w:t>concerning the exclusive control acquisition of the company Groupe Duffort Tours SAS by the company</w:t>
        <w:br/>
        <w:t>Dauphine 27 SAS, and formalized by a letter of intent dated March 27, 2018;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Adopts the following decision:</w:t>
      </w:r>
    </w:p>
    <w:p>
      <w:r>
        <w:t>1. The notified operation consists of the exclusive control acquisition by the company Dauphine 27 SAS of</w:t>
        <w:br/>
        <w:t>the company Groupe Duffort Tours SAS, which operates a car dealership for brands</w:t>
        <w:br/>
        <w:t>Volvo, Jaguar, and Land Rover in the department of Indre-et-Loire (37). It constitutes a</w:t>
        <w:br/>
        <w:t>concentration operation within the meaning of Article L. 430-1 of the Commercial Code. Given the</w:t>
        <w:br/>
        <w:t>turnover generated by the companies involved, the operation does not fall under the</w:t>
        <w:br/>
        <w:t>competence of the European Union. On the other hand, the retail control thresholds mentioned in point II of Article L. 430-2 of the Commercial Code are exceeded. The</w:t>
        <w:br/>
        <w:t>present operation is therefore subject to the provisions of Articles L. 430-3 and following of the Commercial</w:t>
        <w:br/>
        <w:t>Code relating to economic concentration.</w:t>
      </w:r>
    </w:p>
    <w:p>
      <w:r>
        <w:t>2. In view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18-071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