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https://www.autoritedelaconcurrence.fr/fr/decision-de-controle-des-concentrations/relative-la-prise-de-controle-exclusif-de-la-societe-244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19-DCC-04 of January 11, 2019  </w:t>
        <w:br/>
        <w:t xml:space="preserve">regarding the exclusive control acquisition of the company Audoise Automobile  </w:t>
        <w:br/>
        <w:t xml:space="preserve">by the company Financière Maurel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24, 2018, concerning the exclusive control acquisition of the company Audoise Automobile by  </w:t>
        <w:br/>
        <w:t xml:space="preserve">the company Financière Maurel, and formalized by a letter of intent dated  </w:t>
        <w:br/>
        <w:t xml:space="preserve">November 28,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Financière Maurel,  </w:t>
        <w:br/>
        <w:t xml:space="preserve">at the head of the Maurel group, of the company Audoise Automobile, which notably operates  </w:t>
        <w:br/>
        <w:t xml:space="preserve">two Peugeot brand car dealerships in the department of Aude (11).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18-294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