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https://www.autoritedelaconcurrence.fr/fr/decision-de-controle-des-concentrations/relative-la-prise-de-controle-exclusif-de-la-societe-245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19-DCC-07 of January 18, 2019  </w:t>
        <w:br/>
        <w:t xml:space="preserve">regarding the exclusive control acquisition of the company Atlandes by the  </w:t>
        <w:br/>
        <w:t xml:space="preserve">company Predica Prévoyance Dialogue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13, 2018, concerning the exclusive control acquisition of the company Atlandes by the company  </w:t>
        <w:br/>
        <w:t xml:space="preserve">Predica Prévoyance Dialogue, materialized by a share purchase offer dated  </w:t>
        <w:br/>
        <w:t xml:space="preserve">December 11,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Predica Prévoyance  </w:t>
        <w:br/>
        <w:t xml:space="preserve">Dialogue, a subsidiary of the Crédit Agricole group, of the company Atlandes, which operates the  </w:t>
        <w:br/>
        <w:t xml:space="preserve">A63 motorway section between the municipalities of Salles (33) and Saint-Geours-de-Maremne (40). This  </w:t>
        <w:br/>
        <w:t xml:space="preserve">operation constitutes a concentration operation within the meaning of Article L. 430-1 of the Commercial  </w:t>
        <w:br/>
        <w:t xml:space="preserve">Code. Given the turnover achieved by the concerned companies, the operation does not fall under the  </w:t>
        <w:br/>
        <w:t xml:space="preserve">competence of the European Union. On the other hand, the control thresholds mentioned in point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18-292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