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https://www.autoritedelaconcurrence.fr/fr/decision-de-controle-des-concentrations/relative-la-prise-de-controle-exclusif-de-la-societe-246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19-DCC-10 of January 22, 2019  </w:t>
        <w:br/>
        <w:t xml:space="preserve">regarding the exclusive control acquisition of the company Verescence by the  </w:t>
        <w:br/>
        <w:t xml:space="preserve">company Stirling Square Capital Partners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28, 2018, concerning the exclusive control acquisition of the company Verescence Luxembourg  </w:t>
        <w:br/>
        <w:t xml:space="preserve">Perfumery Holding and its subsidiaries (hereinafter, "Verescence") by the company Stirling Square  </w:t>
        <w:br/>
        <w:t xml:space="preserve">Capital Partners Jersey AIFM Limited (hereinafter, "SSCP"), formalized by a purchase promise dated December 19,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of Verescence by SSCP. It  </w:t>
        <w:br/>
        <w:t xml:space="preserve">constitutes a concentration within the meaning of Article L. 430-1 of the Commercial Code. Given  </w:t>
        <w:br/>
        <w:t xml:space="preserve">the turnover achieved by the concerned companies, the notification thresholds of  </w:t>
        <w:br/>
        <w:t xml:space="preserve">Article 1 paragraph 2 of Regulation (EC) 139/2004 are not exceeded. The operation is therefore not  </w:t>
        <w:br/>
        <w:t xml:space="preserve">within the competence of the European Union. On the other hand, the control thresholds  </w:t>
        <w:br/>
        <w:t xml:space="preserve">mentioned in I of Article L. 430-2 of the Commercial Code are exceeded. The present operation  </w:t>
        <w:br/>
        <w:t xml:space="preserve">is therefore subject to the provisions of Articles L. 430-3 and following of the Commercial Code relating  </w:t>
        <w:br/>
        <w:t xml:space="preserve">to economic concentration.  </w:t>
        <w:br/>
        <w:t xml:space="preserve">2. There is no horizontal overlap of activities between the parties. However, a vertical link exists. The markets concerned by the operation are the markets for containers, in  </w:t>
        <w:br/>
        <w:t xml:space="preserve">which Verescence is active, and the markets for transport packaging, in which the  </w:t>
        <w:br/>
        <w:t xml:space="preserve">company Cartonplast, controlled by SSCP, is active. These markets have been defined by the  </w:t>
        <w:br/>
        <w:t xml:space="preserve">decision-making practice of the competition authorities.  </w:t>
        <w:br/>
        <w:t xml:space="preserve">3. Regardless of the segmentations retained, the combined market shares of the parties are  </w:t>
        <w:br/>
        <w:t xml:space="preserve">below 30%.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18-298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